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152A"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2C95AB80"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04E10CAB"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777098">
        <w:rPr>
          <w:rFonts w:asciiTheme="minorEastAsia" w:eastAsiaTheme="minorEastAsia" w:hAnsiTheme="minorEastAsia" w:cs="方正小标宋简体" w:hint="eastAsia"/>
          <w:b/>
          <w:snapToGrid w:val="0"/>
          <w:spacing w:val="-12"/>
          <w:kern w:val="0"/>
          <w:sz w:val="44"/>
          <w:szCs w:val="44"/>
        </w:rPr>
        <w:t>二</w:t>
      </w:r>
      <w:r>
        <w:rPr>
          <w:rFonts w:asciiTheme="minorEastAsia" w:eastAsiaTheme="minorEastAsia" w:hAnsiTheme="minorEastAsia" w:cs="方正小标宋简体" w:hint="eastAsia"/>
          <w:b/>
          <w:snapToGrid w:val="0"/>
          <w:spacing w:val="-12"/>
          <w:kern w:val="0"/>
          <w:sz w:val="44"/>
          <w:szCs w:val="44"/>
        </w:rPr>
        <w:t>批）</w:t>
      </w:r>
    </w:p>
    <w:p w14:paraId="48AFB451" w14:textId="77777777" w:rsidR="001B0CB1" w:rsidRDefault="001B0CB1">
      <w:pPr>
        <w:spacing w:line="550" w:lineRule="exact"/>
        <w:rPr>
          <w:rFonts w:eastAsia="黑体" w:hAnsi="黑体" w:hint="eastAsia"/>
          <w:sz w:val="30"/>
          <w:szCs w:val="30"/>
        </w:rPr>
      </w:pPr>
    </w:p>
    <w:p w14:paraId="17A56A1C"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3FE4701D"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39ADEE5D"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609E39D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311E58C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743FC7EA"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4DE55A1D" w14:textId="77777777" w:rsidR="001B0CB1" w:rsidRPr="006E4DB3" w:rsidRDefault="00777098"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射击</w:t>
      </w:r>
      <w:r w:rsidR="00A53E2C" w:rsidRPr="006E4DB3">
        <w:rPr>
          <w:rFonts w:ascii="Times New Roman" w:eastAsia="仿宋_GB2312" w:hAnsi="Times New Roman" w:hint="eastAsia"/>
          <w:sz w:val="32"/>
          <w:szCs w:val="32"/>
        </w:rPr>
        <w:t>项目</w:t>
      </w:r>
      <w:r>
        <w:rPr>
          <w:rFonts w:ascii="Times New Roman" w:eastAsia="仿宋_GB2312" w:hAnsi="Times New Roman" w:hint="eastAsia"/>
          <w:sz w:val="32"/>
          <w:szCs w:val="32"/>
        </w:rPr>
        <w:t>（步枪）</w:t>
      </w:r>
    </w:p>
    <w:p w14:paraId="72BED8FB"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1E971C35"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2621DD05"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7C28D265"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14:paraId="451C54C4"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6AECC894"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18D7CCC1"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29D6CCAD"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3076C40B"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574BA08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0B594BC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7BBD061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1DA01A7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22242D5C"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14:paraId="60ECEC00"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7C26A41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71715234"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236B84E9"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6ED6A766"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3BE0DC35"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3C6CA350"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2EC20789"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64A7D395"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156CD98B"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0BE257E1"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14:paraId="055216E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394640D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573146AD"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18712FE5"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49471DE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49254F">
        <w:rPr>
          <w:rFonts w:ascii="Times New Roman" w:eastAsia="仿宋_GB2312" w:hAnsi="Times New Roman" w:hint="eastAsia"/>
          <w:sz w:val="32"/>
          <w:szCs w:val="32"/>
        </w:rPr>
        <w:t>5</w:t>
      </w:r>
      <w:r w:rsidRPr="006E4DB3">
        <w:rPr>
          <w:rFonts w:ascii="Times New Roman" w:eastAsia="仿宋_GB2312" w:hAnsi="Times New Roman" w:hint="eastAsia"/>
          <w:sz w:val="32"/>
          <w:szCs w:val="32"/>
        </w:rPr>
        <w:t>月</w:t>
      </w:r>
      <w:r w:rsidR="00777098">
        <w:rPr>
          <w:rFonts w:ascii="Times New Roman" w:eastAsia="仿宋_GB2312" w:hAnsi="Times New Roman" w:hint="eastAsia"/>
          <w:sz w:val="32"/>
          <w:szCs w:val="32"/>
        </w:rPr>
        <w:t>2</w:t>
      </w:r>
      <w:r w:rsidR="0049254F">
        <w:rPr>
          <w:rFonts w:ascii="Times New Roman" w:eastAsia="仿宋_GB2312" w:hAnsi="Times New Roman" w:hint="eastAsia"/>
          <w:sz w:val="32"/>
          <w:szCs w:val="32"/>
        </w:rPr>
        <w:t>6</w:t>
      </w:r>
      <w:r w:rsidRPr="006E4DB3">
        <w:rPr>
          <w:rFonts w:ascii="Times New Roman" w:eastAsia="仿宋_GB2312" w:hAnsi="Times New Roman" w:hint="eastAsia"/>
          <w:sz w:val="32"/>
          <w:szCs w:val="32"/>
        </w:rPr>
        <w:t>日。</w:t>
      </w:r>
    </w:p>
    <w:p w14:paraId="4852620F"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1B88B61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66BD4AC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06EA41E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14:paraId="63F0238C"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0E9094C5"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5BA7F40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554A703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23BEB6A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66712C7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1EC45D67"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6E3FEF6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25D09BC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4EF5459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327C587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675AFBE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14:paraId="287E1CD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0924403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4EC1347C"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6507481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6365B2C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4F87A7D9"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223F14D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690F29E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05C6C2A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35257A2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79CCC21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3F3F2A4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7546912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2F3A91E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74FD2383"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2E48407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24DCFF9A"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4D467489"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22F19173"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2865AEE9"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5FF3FB15" w14:textId="77777777" w:rsidR="001B0CB1" w:rsidRDefault="001B0CB1">
      <w:pPr>
        <w:pStyle w:val="2"/>
        <w:ind w:leftChars="0" w:left="0" w:firstLineChars="0" w:firstLine="0"/>
      </w:pPr>
    </w:p>
    <w:p w14:paraId="2DF437AF" w14:textId="77777777" w:rsidR="00C253D7" w:rsidRDefault="00C253D7">
      <w:pPr>
        <w:pStyle w:val="2"/>
        <w:ind w:leftChars="0" w:left="0" w:firstLineChars="0" w:firstLine="0"/>
      </w:pPr>
    </w:p>
    <w:p w14:paraId="0D09135D" w14:textId="77777777" w:rsidR="00C253D7" w:rsidRDefault="00C253D7">
      <w:pPr>
        <w:pStyle w:val="2"/>
        <w:ind w:leftChars="0" w:left="0" w:firstLineChars="0" w:firstLine="0"/>
      </w:pPr>
    </w:p>
    <w:p w14:paraId="303881A5"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02D26CE3"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2741B5">
        <w:rPr>
          <w:rFonts w:ascii="Times New Roman" w:eastAsia="仿宋_GB2312" w:hAnsi="Times New Roman" w:hint="eastAsia"/>
          <w:sz w:val="30"/>
          <w:szCs w:val="30"/>
        </w:rPr>
        <w:t>20</w:t>
      </w:r>
      <w:r>
        <w:rPr>
          <w:rFonts w:ascii="Times New Roman" w:eastAsia="仿宋_GB2312" w:hAnsi="Times New Roman" w:hint="eastAsia"/>
          <w:sz w:val="30"/>
          <w:szCs w:val="30"/>
        </w:rPr>
        <w:t>日</w:t>
      </w:r>
    </w:p>
    <w:p w14:paraId="5DA8010D"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113D3F99"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01499318"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75BD7BF6" w14:textId="77777777" w:rsidR="001B0CB1" w:rsidRDefault="00A53E2C" w:rsidP="002741B5">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192B4D7D"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E9CA39B"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5A3D71BC"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02412B6B"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02500A88"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D486EEF"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4ED48BFC"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4B0B0F20"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62862683"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3B0B6F5"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3D67ADA6"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4D7D7F36"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0090D526"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F805F02"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0AC9AD64"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760D8AC0"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3E797BA5"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F4DCDC6"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76DBFCE5" w14:textId="77777777" w:rsidR="001B0CB1" w:rsidRDefault="001B0CB1" w:rsidP="002741B5">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7081CBEF"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3F67304D"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5895177"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10072AFC" w14:textId="77777777" w:rsidR="001B0CB1" w:rsidRDefault="001B0CB1" w:rsidP="002741B5">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7E08B679"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2F4D3140"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5A482C0D"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74B4E1D2"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50F1A767"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1DCEC4D1"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20615474" w14:textId="77777777" w:rsidR="001B0CB1" w:rsidRDefault="00A53E2C" w:rsidP="002741B5">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0EFC5100"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61AFFC46"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376DEBD0"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0E3B851A"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00BC1697"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ABB4B10" w14:textId="77777777" w:rsidR="001B0CB1" w:rsidRDefault="001B0CB1" w:rsidP="002741B5">
            <w:pPr>
              <w:spacing w:beforeLines="50" w:before="156" w:afterLines="50" w:after="156" w:line="240" w:lineRule="exact"/>
              <w:rPr>
                <w:rFonts w:ascii="Times New Roman" w:eastAsia="仿宋_GB2312" w:hAnsi="Times New Roman"/>
                <w:bCs/>
                <w:sz w:val="24"/>
                <w:szCs w:val="24"/>
              </w:rPr>
            </w:pPr>
          </w:p>
        </w:tc>
      </w:tr>
      <w:tr w:rsidR="001B0CB1" w14:paraId="421D26DF"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1C6DDEAF"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3E04A7CE"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53A66792"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31E02ECC"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00700B06"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6563A085"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3A120920" w14:textId="77777777" w:rsidR="001B0CB1" w:rsidRDefault="001B0CB1" w:rsidP="002741B5">
            <w:pPr>
              <w:pStyle w:val="2"/>
              <w:spacing w:beforeLines="50" w:before="156" w:afterLines="50" w:after="156" w:line="240" w:lineRule="exact"/>
              <w:ind w:leftChars="0" w:left="0" w:firstLineChars="0" w:firstLine="0"/>
              <w:rPr>
                <w:rFonts w:ascii="Times New Roman" w:eastAsia="仿宋_GB2312" w:hAnsi="Times New Roman"/>
                <w:sz w:val="24"/>
              </w:rPr>
            </w:pPr>
          </w:p>
          <w:p w14:paraId="60F4EAC3"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2EDF2863"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tc>
      </w:tr>
      <w:tr w:rsidR="001B0CB1" w14:paraId="1F80F854"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736908BC" w14:textId="77777777" w:rsidR="001B0CB1" w:rsidRDefault="00A53E2C" w:rsidP="002741B5">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5F0588A8"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31C374E0"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32677E5B" w14:textId="77777777" w:rsidR="001B0CB1" w:rsidRDefault="00A53E2C" w:rsidP="002741B5">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47673FC0" w14:textId="77777777" w:rsidR="001B0CB1" w:rsidRDefault="00A53E2C" w:rsidP="002741B5">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40E92120"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7258820D"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8821193"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3FE6BE00"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AA8919B" w14:textId="77777777" w:rsidR="001B0CB1" w:rsidRDefault="00A53E2C" w:rsidP="002741B5">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54CAF339"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1213E5E9"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2067E24E" w14:textId="77777777" w:rsidR="001B0CB1" w:rsidRDefault="00A53E2C" w:rsidP="002741B5">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4C6188D3" w14:textId="77777777" w:rsidR="001B0CB1" w:rsidRDefault="00A53E2C" w:rsidP="002741B5">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121A99D1"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08E1B31E"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55A13E78" w14:textId="77777777" w:rsidR="001B0CB1" w:rsidRDefault="00A53E2C" w:rsidP="002741B5">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25E660C1" w14:textId="77777777" w:rsidR="001B0CB1" w:rsidRDefault="00A53E2C" w:rsidP="002741B5">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05C2FB2B"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218BA844" w14:textId="77777777" w:rsidR="001B0CB1" w:rsidRDefault="00A53E2C" w:rsidP="002741B5">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3B79A4EC"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242A5885"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0792AD21"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2108710E"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5BE5E40D"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1D6AA8E2"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1FDD97A2" w14:textId="77777777" w:rsidR="001B0CB1" w:rsidRDefault="00A53E2C">
            <w:pPr>
              <w:pStyle w:val="2"/>
              <w:ind w:leftChars="0" w:left="0" w:firstLineChars="0" w:firstLine="0"/>
            </w:pPr>
            <w:r>
              <w:rPr>
                <w:rFonts w:hint="eastAsia"/>
              </w:rPr>
              <w:t>（结合联办周期分年度填写）</w:t>
            </w:r>
          </w:p>
          <w:p w14:paraId="130ED7CE" w14:textId="77777777" w:rsidR="001B0CB1" w:rsidRDefault="001B0CB1">
            <w:pPr>
              <w:pStyle w:val="2"/>
            </w:pPr>
          </w:p>
        </w:tc>
      </w:tr>
      <w:tr w:rsidR="001B0CB1" w14:paraId="47F7BA61"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44B8B638"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7D335CEE"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36810774"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0F07C3B0"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7EAE28C"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901E3C2"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688B6D94"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7801585B"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05B5FF7F"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32175FF6" w14:textId="77777777" w:rsidR="001B0CB1" w:rsidRDefault="001B0CB1" w:rsidP="002741B5">
            <w:pPr>
              <w:spacing w:beforeLines="50" w:before="156" w:afterLines="50" w:after="156" w:line="240" w:lineRule="exact"/>
              <w:jc w:val="center"/>
            </w:pPr>
          </w:p>
          <w:p w14:paraId="45C93C61" w14:textId="77777777" w:rsidR="001B0CB1" w:rsidRDefault="001B0CB1">
            <w:pPr>
              <w:pStyle w:val="2"/>
              <w:ind w:firstLine="480"/>
              <w:rPr>
                <w:rFonts w:ascii="Times New Roman" w:eastAsia="仿宋_GB2312" w:hAnsi="Times New Roman"/>
                <w:sz w:val="24"/>
              </w:rPr>
            </w:pPr>
          </w:p>
          <w:p w14:paraId="541E312D" w14:textId="77777777" w:rsidR="001B0CB1" w:rsidRDefault="001B0CB1">
            <w:pPr>
              <w:pStyle w:val="2"/>
              <w:ind w:firstLine="480"/>
              <w:rPr>
                <w:rFonts w:ascii="Times New Roman" w:eastAsia="仿宋_GB2312" w:hAnsi="Times New Roman"/>
                <w:sz w:val="24"/>
              </w:rPr>
            </w:pPr>
          </w:p>
          <w:p w14:paraId="25516051" w14:textId="77777777" w:rsidR="001B0CB1" w:rsidRDefault="001B0CB1">
            <w:pPr>
              <w:pStyle w:val="2"/>
              <w:ind w:firstLine="480"/>
              <w:rPr>
                <w:rFonts w:ascii="Times New Roman" w:eastAsia="仿宋_GB2312" w:hAnsi="Times New Roman"/>
                <w:sz w:val="24"/>
              </w:rPr>
            </w:pPr>
          </w:p>
          <w:p w14:paraId="3DE8DC84" w14:textId="77777777" w:rsidR="001B0CB1" w:rsidRDefault="001B0CB1">
            <w:pPr>
              <w:pStyle w:val="2"/>
              <w:ind w:firstLine="480"/>
              <w:rPr>
                <w:rFonts w:ascii="Times New Roman" w:eastAsia="仿宋_GB2312" w:hAnsi="Times New Roman"/>
                <w:sz w:val="24"/>
              </w:rPr>
            </w:pPr>
          </w:p>
          <w:p w14:paraId="29608CAC" w14:textId="77777777" w:rsidR="001B0CB1" w:rsidRDefault="001B0CB1">
            <w:pPr>
              <w:pStyle w:val="2"/>
              <w:ind w:firstLine="480"/>
              <w:rPr>
                <w:rFonts w:ascii="Times New Roman" w:eastAsia="仿宋_GB2312" w:hAnsi="Times New Roman"/>
                <w:sz w:val="24"/>
              </w:rPr>
            </w:pPr>
          </w:p>
        </w:tc>
      </w:tr>
    </w:tbl>
    <w:p w14:paraId="66A78BE6"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44AEE5AC"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04ADDFA3"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684E2F28"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1D693620" w14:textId="77777777" w:rsidR="001B0CB1" w:rsidRDefault="00A53E2C" w:rsidP="002741B5">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137A46EE"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1A7400F4"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6F5547EF"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35B59DFA"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29D82E93"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4FFDA66"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766A4EE5"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6761B135"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4EEE04FD"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57F7B97"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66B546EA"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36E70E6"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687B76DD"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1C424B28"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364A10ED"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278344E"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2B6EF33E"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38BF704"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0B904287" w14:textId="77777777" w:rsidR="001B0CB1" w:rsidRDefault="001B0CB1" w:rsidP="002741B5">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3854E200"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1E157FCC"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A7651D0"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082D6C90" w14:textId="77777777" w:rsidR="001B0CB1" w:rsidRDefault="001B0CB1" w:rsidP="002741B5">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1AA752D"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135E2747"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294C1FA9"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39D48702" w14:textId="77777777" w:rsidR="001B0CB1" w:rsidRDefault="00A53E2C" w:rsidP="002741B5">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3DA79AF9"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8675841"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5FB1A8DA" w14:textId="77777777" w:rsidR="001B0CB1" w:rsidRDefault="00A53E2C" w:rsidP="002741B5">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007F4A7F"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1F10BE3"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7761DD9A" w14:textId="77777777" w:rsidR="001B0CB1" w:rsidRDefault="001B0CB1" w:rsidP="002741B5">
            <w:pPr>
              <w:spacing w:beforeLines="50" w:before="156" w:afterLines="50" w:after="156" w:line="240" w:lineRule="exact"/>
              <w:rPr>
                <w:rFonts w:ascii="Times New Roman" w:eastAsia="仿宋_GB2312" w:hAnsi="Times New Roman"/>
                <w:sz w:val="24"/>
                <w:szCs w:val="24"/>
              </w:rPr>
            </w:pPr>
          </w:p>
        </w:tc>
      </w:tr>
      <w:tr w:rsidR="001B0CB1" w14:paraId="0F149A24"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2E598CD4"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3C7C7EAD" w14:textId="77777777" w:rsidR="001B0CB1" w:rsidRDefault="001B0CB1" w:rsidP="002741B5">
            <w:pPr>
              <w:spacing w:beforeLines="50" w:before="156" w:afterLines="50" w:after="156" w:line="240" w:lineRule="exact"/>
              <w:rPr>
                <w:rFonts w:ascii="Times New Roman" w:eastAsia="仿宋_GB2312" w:hAnsi="Times New Roman"/>
                <w:bCs/>
                <w:sz w:val="24"/>
                <w:szCs w:val="24"/>
              </w:rPr>
            </w:pPr>
          </w:p>
        </w:tc>
      </w:tr>
      <w:tr w:rsidR="001B0CB1" w14:paraId="53C35C1E"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246A066F"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1285A260" w14:textId="77777777" w:rsidR="001B0CB1" w:rsidRDefault="00A53E2C" w:rsidP="002741B5">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2BB2EC62"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0A23253A"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0157C956"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1FD3A29D"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1512279F" w14:textId="77777777" w:rsidR="001B0CB1" w:rsidRDefault="001B0CB1" w:rsidP="002741B5">
            <w:pPr>
              <w:pStyle w:val="2"/>
              <w:spacing w:beforeLines="50" w:before="156" w:afterLines="50" w:after="156" w:line="240" w:lineRule="exact"/>
              <w:ind w:leftChars="0" w:left="0" w:firstLineChars="0" w:firstLine="0"/>
              <w:rPr>
                <w:rFonts w:ascii="Times New Roman" w:eastAsia="仿宋_GB2312" w:hAnsi="Times New Roman"/>
                <w:sz w:val="24"/>
              </w:rPr>
            </w:pPr>
          </w:p>
          <w:p w14:paraId="7486C1C8"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p w14:paraId="70C514FF" w14:textId="77777777" w:rsidR="001B0CB1" w:rsidRDefault="001B0CB1" w:rsidP="002741B5">
            <w:pPr>
              <w:pStyle w:val="2"/>
              <w:spacing w:beforeLines="50" w:before="156" w:afterLines="50" w:after="156" w:line="240" w:lineRule="exact"/>
              <w:ind w:firstLine="480"/>
              <w:rPr>
                <w:rFonts w:ascii="Times New Roman" w:eastAsia="仿宋_GB2312" w:hAnsi="Times New Roman"/>
                <w:sz w:val="24"/>
              </w:rPr>
            </w:pPr>
          </w:p>
        </w:tc>
      </w:tr>
    </w:tbl>
    <w:p w14:paraId="08B1D0E1" w14:textId="77777777" w:rsidR="001B0CB1" w:rsidRDefault="00A53E2C">
      <w:pPr>
        <w:rPr>
          <w:rFonts w:ascii="黑体" w:eastAsia="黑体"/>
          <w:sz w:val="30"/>
          <w:szCs w:val="30"/>
        </w:rPr>
      </w:pPr>
      <w:r>
        <w:rPr>
          <w:rFonts w:ascii="黑体" w:eastAsia="黑体" w:hint="eastAsia"/>
          <w:sz w:val="30"/>
          <w:szCs w:val="30"/>
        </w:rPr>
        <w:br w:type="page"/>
      </w:r>
    </w:p>
    <w:p w14:paraId="28A70362"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2A39908F"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7C963AE4"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7D6B7C23"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1F8641C7"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243EAD96"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2A5E4799" w14:textId="77777777" w:rsidR="001B0CB1" w:rsidRDefault="001B0CB1">
            <w:pPr>
              <w:spacing w:line="360" w:lineRule="auto"/>
              <w:rPr>
                <w:rFonts w:ascii="Times New Roman" w:eastAsia="仿宋_GB2312" w:hAnsi="Times New Roman"/>
                <w:sz w:val="24"/>
                <w:szCs w:val="24"/>
              </w:rPr>
            </w:pPr>
          </w:p>
          <w:p w14:paraId="7DED7B57"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1AA1B2BE" w14:textId="77777777" w:rsidR="001B0CB1" w:rsidRDefault="001B0CB1">
            <w:pPr>
              <w:spacing w:line="360" w:lineRule="auto"/>
              <w:rPr>
                <w:rFonts w:ascii="Times New Roman" w:eastAsia="仿宋_GB2312" w:hAnsi="Times New Roman"/>
                <w:sz w:val="24"/>
                <w:szCs w:val="24"/>
              </w:rPr>
            </w:pPr>
          </w:p>
          <w:p w14:paraId="4852D97F"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2D6EB900"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0BBC0301" w14:textId="77777777" w:rsidR="001B0CB1" w:rsidRDefault="001B0CB1">
            <w:pPr>
              <w:spacing w:line="360" w:lineRule="auto"/>
              <w:ind w:firstLineChars="200" w:firstLine="480"/>
              <w:rPr>
                <w:rFonts w:ascii="Times New Roman" w:eastAsia="仿宋_GB2312" w:hAnsi="Times New Roman"/>
                <w:sz w:val="24"/>
                <w:szCs w:val="24"/>
              </w:rPr>
            </w:pPr>
          </w:p>
          <w:p w14:paraId="46CBF436" w14:textId="77777777" w:rsidR="001B0CB1" w:rsidRDefault="001B0CB1">
            <w:pPr>
              <w:spacing w:line="360" w:lineRule="auto"/>
              <w:ind w:firstLineChars="200" w:firstLine="480"/>
              <w:rPr>
                <w:rFonts w:ascii="Times New Roman" w:eastAsia="仿宋_GB2312" w:hAnsi="Times New Roman"/>
                <w:sz w:val="24"/>
                <w:szCs w:val="24"/>
              </w:rPr>
            </w:pPr>
          </w:p>
          <w:p w14:paraId="196493F6" w14:textId="77777777" w:rsidR="001B0CB1" w:rsidRDefault="001B0CB1">
            <w:pPr>
              <w:spacing w:line="360" w:lineRule="auto"/>
              <w:ind w:firstLineChars="200" w:firstLine="480"/>
              <w:rPr>
                <w:rFonts w:ascii="Times New Roman" w:eastAsia="仿宋_GB2312" w:hAnsi="Times New Roman"/>
                <w:sz w:val="24"/>
                <w:szCs w:val="24"/>
              </w:rPr>
            </w:pPr>
          </w:p>
          <w:p w14:paraId="428CFDC3" w14:textId="77777777" w:rsidR="001B0CB1" w:rsidRDefault="001B0CB1">
            <w:pPr>
              <w:spacing w:line="360" w:lineRule="auto"/>
              <w:ind w:firstLineChars="200" w:firstLine="480"/>
              <w:rPr>
                <w:rFonts w:ascii="Times New Roman" w:eastAsia="仿宋_GB2312" w:hAnsi="Times New Roman"/>
                <w:sz w:val="24"/>
                <w:szCs w:val="24"/>
              </w:rPr>
            </w:pPr>
          </w:p>
          <w:p w14:paraId="35F000ED" w14:textId="77777777" w:rsidR="001B0CB1" w:rsidRDefault="001B0CB1">
            <w:pPr>
              <w:spacing w:line="360" w:lineRule="auto"/>
              <w:ind w:firstLineChars="200" w:firstLine="480"/>
              <w:rPr>
                <w:rFonts w:ascii="Times New Roman" w:eastAsia="仿宋_GB2312" w:hAnsi="Times New Roman"/>
                <w:sz w:val="24"/>
                <w:szCs w:val="24"/>
              </w:rPr>
            </w:pPr>
          </w:p>
          <w:p w14:paraId="53604AD4"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302392D7" w14:textId="77777777" w:rsidR="001B0CB1" w:rsidRDefault="001B0CB1">
            <w:pPr>
              <w:pStyle w:val="2"/>
              <w:ind w:firstLine="480"/>
              <w:rPr>
                <w:rFonts w:ascii="Times New Roman" w:eastAsia="仿宋_GB2312" w:hAnsi="Times New Roman"/>
                <w:sz w:val="24"/>
              </w:rPr>
            </w:pPr>
          </w:p>
          <w:p w14:paraId="5FC50431"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1396088B" w14:textId="77777777" w:rsidR="001B0CB1" w:rsidRDefault="001B0CB1" w:rsidP="002741B5">
      <w:pPr>
        <w:spacing w:beforeLines="50" w:before="156" w:afterLines="50" w:after="156" w:line="560" w:lineRule="exact"/>
        <w:rPr>
          <w:rFonts w:ascii="黑体" w:eastAsia="黑体" w:hAnsi="黑体" w:hint="eastAsia"/>
          <w:sz w:val="30"/>
          <w:szCs w:val="30"/>
        </w:rPr>
      </w:pPr>
    </w:p>
    <w:p w14:paraId="7DD2870C"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1093CD4D"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1137B2DB" w14:textId="77777777" w:rsidR="001B0CB1" w:rsidRDefault="001B0CB1">
      <w:pPr>
        <w:spacing w:line="550" w:lineRule="exact"/>
        <w:jc w:val="center"/>
        <w:rPr>
          <w:rFonts w:asciiTheme="minorEastAsia" w:eastAsiaTheme="minorEastAsia" w:hAnsiTheme="minorEastAsia" w:hint="eastAsia"/>
          <w:b/>
          <w:sz w:val="32"/>
          <w:szCs w:val="32"/>
        </w:rPr>
      </w:pPr>
    </w:p>
    <w:p w14:paraId="20D531A9"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2DDED96B"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59479A1D"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2AF025E0"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59E9C5F6"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785C420F"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065F3589"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0D95747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39A15C0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7E5398B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68164BBE"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3A6498C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4045110F"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34AC4A56"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50AC8F9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070CB513"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0D8B5600"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356EE50A"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681573CC" w14:textId="77777777">
        <w:trPr>
          <w:trHeight w:val="610"/>
          <w:jc w:val="center"/>
        </w:trPr>
        <w:tc>
          <w:tcPr>
            <w:tcW w:w="1133" w:type="dxa"/>
            <w:vAlign w:val="center"/>
          </w:tcPr>
          <w:p w14:paraId="7A557C75"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3C948DD0"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2A114166"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7306C1EA"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654A225F"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75B0A823" w14:textId="77777777">
        <w:trPr>
          <w:trHeight w:val="610"/>
          <w:jc w:val="center"/>
        </w:trPr>
        <w:tc>
          <w:tcPr>
            <w:tcW w:w="1133" w:type="dxa"/>
            <w:vAlign w:val="center"/>
          </w:tcPr>
          <w:p w14:paraId="1A08386C"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48693C82"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084326B0"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132FF127"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31431606" w14:textId="77777777" w:rsidR="001B0CB1" w:rsidRDefault="001B0CB1">
            <w:pPr>
              <w:jc w:val="center"/>
              <w:rPr>
                <w:rFonts w:ascii="仿宋_GB2312" w:eastAsia="仿宋_GB2312" w:hAnsi="CESI宋体-GB2312" w:cs="CESI宋体-GB2312" w:hint="eastAsia"/>
                <w:sz w:val="24"/>
                <w:szCs w:val="24"/>
              </w:rPr>
            </w:pPr>
          </w:p>
        </w:tc>
      </w:tr>
      <w:tr w:rsidR="001B0CB1" w14:paraId="22A9285F" w14:textId="77777777">
        <w:trPr>
          <w:trHeight w:val="610"/>
          <w:jc w:val="center"/>
        </w:trPr>
        <w:tc>
          <w:tcPr>
            <w:tcW w:w="1133" w:type="dxa"/>
            <w:vAlign w:val="center"/>
          </w:tcPr>
          <w:p w14:paraId="152F3D41"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504DA7E0"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4E2E1E3B"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5A4A9FD0"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7BE1DB5B" w14:textId="77777777" w:rsidR="001B0CB1" w:rsidRDefault="001B0CB1">
            <w:pPr>
              <w:jc w:val="center"/>
              <w:rPr>
                <w:rFonts w:ascii="仿宋_GB2312" w:eastAsia="仿宋_GB2312" w:hAnsi="CESI宋体-GB2312" w:cs="CESI宋体-GB2312" w:hint="eastAsia"/>
                <w:sz w:val="24"/>
                <w:szCs w:val="24"/>
              </w:rPr>
            </w:pPr>
          </w:p>
        </w:tc>
      </w:tr>
      <w:tr w:rsidR="001B0CB1" w14:paraId="59B18F4E" w14:textId="77777777">
        <w:trPr>
          <w:trHeight w:val="610"/>
          <w:jc w:val="center"/>
        </w:trPr>
        <w:tc>
          <w:tcPr>
            <w:tcW w:w="1133" w:type="dxa"/>
            <w:vAlign w:val="center"/>
          </w:tcPr>
          <w:p w14:paraId="4E7E9728"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6979C0C8"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7EE59E08"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49EC8FE4"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135908C1" w14:textId="77777777" w:rsidR="001B0CB1" w:rsidRDefault="001B0CB1">
            <w:pPr>
              <w:jc w:val="center"/>
              <w:rPr>
                <w:rFonts w:ascii="仿宋_GB2312" w:eastAsia="仿宋_GB2312" w:hAnsi="CESI宋体-GB2312" w:cs="CESI宋体-GB2312" w:hint="eastAsia"/>
                <w:sz w:val="24"/>
                <w:szCs w:val="24"/>
              </w:rPr>
            </w:pPr>
          </w:p>
        </w:tc>
      </w:tr>
      <w:tr w:rsidR="001B0CB1" w14:paraId="772605A4" w14:textId="77777777">
        <w:trPr>
          <w:trHeight w:val="629"/>
          <w:jc w:val="center"/>
        </w:trPr>
        <w:tc>
          <w:tcPr>
            <w:tcW w:w="1133" w:type="dxa"/>
            <w:vAlign w:val="center"/>
          </w:tcPr>
          <w:p w14:paraId="0BD39036"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4E50182C"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71BC1E6E"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58E868FB"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7104B4F" w14:textId="77777777" w:rsidR="001B0CB1" w:rsidRDefault="001B0CB1">
            <w:pPr>
              <w:jc w:val="center"/>
              <w:rPr>
                <w:rFonts w:ascii="仿宋_GB2312" w:eastAsia="仿宋_GB2312" w:hAnsi="CESI宋体-GB2312" w:cs="CESI宋体-GB2312" w:hint="eastAsia"/>
                <w:sz w:val="24"/>
                <w:szCs w:val="24"/>
              </w:rPr>
            </w:pPr>
          </w:p>
        </w:tc>
      </w:tr>
    </w:tbl>
    <w:p w14:paraId="08B34CA8" w14:textId="77777777" w:rsidR="001B0CB1" w:rsidRDefault="001B0CB1">
      <w:pPr>
        <w:pStyle w:val="2"/>
      </w:pPr>
    </w:p>
    <w:p w14:paraId="6190880B"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00C004FD"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618BFC1B"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5253795E"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6763DD1E"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20054E0E"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7D26BD28"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5233B1FF"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24407741"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582BB681"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6910E07E"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069024BD"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62DE1C3B"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7DEDFEC3"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2E537E4B"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5420DC09"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0BA6287A" w14:textId="77777777" w:rsidR="001B0CB1" w:rsidRDefault="00A53E2C">
            <w:pPr>
              <w:jc w:val="center"/>
              <w:rPr>
                <w:rFonts w:ascii="宋体" w:hAnsi="宋体" w:hint="eastAsia"/>
                <w:b/>
                <w:szCs w:val="21"/>
              </w:rPr>
            </w:pPr>
            <w:r>
              <w:rPr>
                <w:rFonts w:ascii="宋体" w:hAnsi="宋体" w:hint="eastAsia"/>
                <w:b/>
                <w:szCs w:val="21"/>
              </w:rPr>
              <w:t>联办机构</w:t>
            </w:r>
          </w:p>
          <w:p w14:paraId="006B96AF"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3A805A31"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1EE0F44B"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7812D25"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41ADC972"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4315EE8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B6DBD1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BFCE137"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F58F97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366EEB9" w14:textId="77777777" w:rsidR="001B0CB1" w:rsidRDefault="001B0CB1">
            <w:pPr>
              <w:jc w:val="left"/>
              <w:rPr>
                <w:rFonts w:ascii="宋体" w:hAnsi="宋体" w:hint="eastAsia"/>
                <w:szCs w:val="21"/>
              </w:rPr>
            </w:pPr>
          </w:p>
        </w:tc>
      </w:tr>
      <w:tr w:rsidR="001B0CB1" w14:paraId="642158D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708A6DB"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61F5EF95"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32F500A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C277C48"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1D7C00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CEEBFB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E3D6391" w14:textId="77777777" w:rsidR="001B0CB1" w:rsidRDefault="001B0CB1">
            <w:pPr>
              <w:jc w:val="left"/>
              <w:rPr>
                <w:rFonts w:ascii="宋体" w:hAnsi="宋体" w:hint="eastAsia"/>
                <w:szCs w:val="21"/>
              </w:rPr>
            </w:pPr>
          </w:p>
        </w:tc>
      </w:tr>
      <w:tr w:rsidR="001B0CB1" w14:paraId="131CBFE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E5AF00C"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31B7ED6D"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781C4C2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0A37BE4"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AD4CB5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089D00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1FD7275" w14:textId="77777777" w:rsidR="001B0CB1" w:rsidRDefault="001B0CB1">
            <w:pPr>
              <w:jc w:val="left"/>
              <w:rPr>
                <w:rFonts w:ascii="宋体" w:hAnsi="宋体" w:hint="eastAsia"/>
                <w:szCs w:val="21"/>
              </w:rPr>
            </w:pPr>
          </w:p>
        </w:tc>
      </w:tr>
      <w:tr w:rsidR="001B0CB1" w14:paraId="25EF653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0FAF31C"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464D4C1E"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1E6DF7A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BC2E34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E96600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9EDE332"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631F776" w14:textId="77777777" w:rsidR="001B0CB1" w:rsidRDefault="001B0CB1">
            <w:pPr>
              <w:jc w:val="left"/>
              <w:rPr>
                <w:rFonts w:ascii="宋体" w:hAnsi="宋体" w:hint="eastAsia"/>
                <w:szCs w:val="21"/>
              </w:rPr>
            </w:pPr>
          </w:p>
        </w:tc>
      </w:tr>
      <w:tr w:rsidR="001B0CB1" w14:paraId="29C750E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C0A2E9D"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5DAB3C1D"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0D2E00C6"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8E0766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62B62C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97839F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45486E2" w14:textId="77777777" w:rsidR="001B0CB1" w:rsidRDefault="001B0CB1">
            <w:pPr>
              <w:jc w:val="left"/>
              <w:rPr>
                <w:rFonts w:ascii="宋体" w:hAnsi="宋体" w:hint="eastAsia"/>
                <w:szCs w:val="21"/>
              </w:rPr>
            </w:pPr>
          </w:p>
        </w:tc>
      </w:tr>
      <w:tr w:rsidR="001B0CB1" w14:paraId="428F459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E76E490"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122B48D3"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2195785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E3618C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C60E06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B8DE174"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D0EF9BA" w14:textId="77777777" w:rsidR="001B0CB1" w:rsidRDefault="001B0CB1">
            <w:pPr>
              <w:jc w:val="left"/>
              <w:rPr>
                <w:rFonts w:ascii="宋体" w:hAnsi="宋体" w:hint="eastAsia"/>
                <w:szCs w:val="21"/>
              </w:rPr>
            </w:pPr>
          </w:p>
        </w:tc>
      </w:tr>
      <w:tr w:rsidR="001B0CB1" w14:paraId="492855E1"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D6C7BDC"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15D85288"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26E2FA4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CA9667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9CBCA4D"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A1CD04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E6FFC22" w14:textId="77777777" w:rsidR="001B0CB1" w:rsidRDefault="001B0CB1">
            <w:pPr>
              <w:jc w:val="left"/>
              <w:rPr>
                <w:rFonts w:ascii="宋体" w:hAnsi="宋体" w:hint="eastAsia"/>
                <w:szCs w:val="21"/>
              </w:rPr>
            </w:pPr>
          </w:p>
        </w:tc>
      </w:tr>
      <w:tr w:rsidR="001B0CB1" w14:paraId="35C98A0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B73750D"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075E452C"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46906D7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DC46F2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3EA28B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92857EF"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BC23DCD" w14:textId="77777777" w:rsidR="001B0CB1" w:rsidRDefault="001B0CB1">
            <w:pPr>
              <w:jc w:val="left"/>
              <w:rPr>
                <w:rFonts w:ascii="宋体" w:hAnsi="宋体" w:hint="eastAsia"/>
                <w:szCs w:val="21"/>
              </w:rPr>
            </w:pPr>
          </w:p>
        </w:tc>
      </w:tr>
      <w:tr w:rsidR="001B0CB1" w14:paraId="27FE6AC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FC052D6"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603682A1"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263E3EB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CF9DA3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83525A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9F16D6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DFFC392" w14:textId="77777777" w:rsidR="001B0CB1" w:rsidRDefault="001B0CB1">
            <w:pPr>
              <w:jc w:val="left"/>
              <w:rPr>
                <w:rFonts w:ascii="宋体" w:hAnsi="宋体" w:hint="eastAsia"/>
                <w:szCs w:val="21"/>
              </w:rPr>
            </w:pPr>
          </w:p>
        </w:tc>
      </w:tr>
      <w:tr w:rsidR="001B0CB1" w14:paraId="2909A856"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652B9EB"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0EB3489C"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0EF5532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483C7C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E93D12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7CB469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C5FFA15" w14:textId="77777777" w:rsidR="001B0CB1" w:rsidRDefault="001B0CB1">
            <w:pPr>
              <w:jc w:val="left"/>
              <w:rPr>
                <w:rFonts w:ascii="宋体" w:hAnsi="宋体" w:hint="eastAsia"/>
                <w:szCs w:val="21"/>
              </w:rPr>
            </w:pPr>
          </w:p>
        </w:tc>
      </w:tr>
      <w:tr w:rsidR="001B0CB1" w14:paraId="58BD546F"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28BA143"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71B6861E"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024413A1"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8B1BC2B"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58C6556"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618690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182F9FE" w14:textId="77777777" w:rsidR="001B0CB1" w:rsidRDefault="001B0CB1">
            <w:pPr>
              <w:jc w:val="left"/>
              <w:rPr>
                <w:rFonts w:ascii="宋体" w:hAnsi="宋体" w:hint="eastAsia"/>
                <w:szCs w:val="21"/>
              </w:rPr>
            </w:pPr>
          </w:p>
        </w:tc>
      </w:tr>
      <w:tr w:rsidR="001B0CB1" w14:paraId="3E521436"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25D0FAC"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772F2228"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663E4F4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F74C65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DE9C62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C62C79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490B3E5" w14:textId="77777777" w:rsidR="001B0CB1" w:rsidRDefault="001B0CB1">
            <w:pPr>
              <w:jc w:val="left"/>
              <w:rPr>
                <w:rFonts w:ascii="宋体" w:hAnsi="宋体" w:hint="eastAsia"/>
                <w:szCs w:val="21"/>
              </w:rPr>
            </w:pPr>
          </w:p>
        </w:tc>
      </w:tr>
      <w:tr w:rsidR="001B0CB1" w14:paraId="4554D232"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DDE220C"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7DCD1CAB"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40D1C521"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A846A5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4EF6B6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FF867A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7AD103C" w14:textId="77777777" w:rsidR="001B0CB1" w:rsidRDefault="001B0CB1">
            <w:pPr>
              <w:jc w:val="left"/>
              <w:rPr>
                <w:rFonts w:ascii="宋体" w:hAnsi="宋体" w:hint="eastAsia"/>
                <w:szCs w:val="21"/>
              </w:rPr>
            </w:pPr>
          </w:p>
        </w:tc>
      </w:tr>
      <w:tr w:rsidR="001B0CB1" w14:paraId="53924406"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210A081"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32EA549F"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62BD36D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FEDE991"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526252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36B71C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BF9A742" w14:textId="77777777" w:rsidR="001B0CB1" w:rsidRDefault="001B0CB1">
            <w:pPr>
              <w:jc w:val="left"/>
              <w:rPr>
                <w:rFonts w:ascii="宋体" w:hAnsi="宋体" w:hint="eastAsia"/>
                <w:szCs w:val="21"/>
              </w:rPr>
            </w:pPr>
          </w:p>
        </w:tc>
      </w:tr>
      <w:tr w:rsidR="001B0CB1" w14:paraId="0B0B492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D488B19"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530D0DA8"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36D1BC2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72AE62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3CC276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A1188D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DBA9C4E" w14:textId="77777777" w:rsidR="001B0CB1" w:rsidRDefault="001B0CB1">
            <w:pPr>
              <w:jc w:val="left"/>
              <w:rPr>
                <w:rFonts w:ascii="宋体" w:hAnsi="宋体" w:hint="eastAsia"/>
                <w:szCs w:val="21"/>
              </w:rPr>
            </w:pPr>
          </w:p>
        </w:tc>
      </w:tr>
      <w:tr w:rsidR="001B0CB1" w14:paraId="3241E994"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4B016D4D"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10CAF58C"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553AB5C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85C7CCB"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F2C47F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0D2C9B9"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19167A5" w14:textId="77777777" w:rsidR="001B0CB1" w:rsidRDefault="001B0CB1">
            <w:pPr>
              <w:jc w:val="left"/>
              <w:rPr>
                <w:rFonts w:ascii="宋体" w:hAnsi="宋体" w:hint="eastAsia"/>
                <w:szCs w:val="21"/>
              </w:rPr>
            </w:pPr>
          </w:p>
        </w:tc>
      </w:tr>
      <w:tr w:rsidR="001B0CB1" w14:paraId="5E73A556"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25AAA06E"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1DD96D0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9374A5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92BC9A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FE4E0B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A8EAC45" w14:textId="77777777" w:rsidR="001B0CB1" w:rsidRDefault="001B0CB1">
            <w:pPr>
              <w:jc w:val="left"/>
              <w:rPr>
                <w:rFonts w:ascii="宋体" w:hAnsi="宋体" w:hint="eastAsia"/>
                <w:szCs w:val="21"/>
              </w:rPr>
            </w:pPr>
          </w:p>
        </w:tc>
      </w:tr>
    </w:tbl>
    <w:bookmarkEnd w:id="1"/>
    <w:p w14:paraId="159ABF05"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6C9ED012"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23A137A7"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7AE0D7E8"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1EC7E21C"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753A0557"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4DEBCB26"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69DD440C"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688878FE"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5696930C"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699406FA"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6EDC99EE"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200A3BFE"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43AC54EB"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45428673"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242CC3C5"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645F15CF"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2ED49DB6"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2DB31E18"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0394" w14:textId="77777777" w:rsidR="00CA1056" w:rsidRDefault="00CA1056" w:rsidP="001B0CB1">
      <w:r>
        <w:separator/>
      </w:r>
    </w:p>
  </w:endnote>
  <w:endnote w:type="continuationSeparator" w:id="0">
    <w:p w14:paraId="0F26ECD0" w14:textId="77777777" w:rsidR="00CA1056" w:rsidRDefault="00CA1056"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6BA7"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8E5EA1">
      <w:rPr>
        <w:rFonts w:ascii="宋体" w:hAnsi="宋体"/>
        <w:sz w:val="28"/>
        <w:szCs w:val="28"/>
        <w:lang w:val="zh-CN"/>
      </w:rPr>
      <w:fldChar w:fldCharType="begin"/>
    </w:r>
    <w:r>
      <w:rPr>
        <w:rFonts w:ascii="宋体" w:hAnsi="宋体"/>
        <w:sz w:val="28"/>
        <w:szCs w:val="28"/>
        <w:lang w:val="zh-CN"/>
      </w:rPr>
      <w:instrText xml:space="preserve"> PAGE   \* MERGEFORMAT </w:instrText>
    </w:r>
    <w:r w:rsidR="008E5EA1">
      <w:rPr>
        <w:rFonts w:ascii="宋体" w:hAnsi="宋体"/>
        <w:sz w:val="28"/>
        <w:szCs w:val="28"/>
        <w:lang w:val="zh-CN"/>
      </w:rPr>
      <w:fldChar w:fldCharType="separate"/>
    </w:r>
    <w:r w:rsidR="002741B5">
      <w:rPr>
        <w:rFonts w:ascii="宋体" w:hAnsi="宋体"/>
        <w:noProof/>
        <w:sz w:val="28"/>
        <w:szCs w:val="28"/>
        <w:lang w:val="zh-CN"/>
      </w:rPr>
      <w:t>7</w:t>
    </w:r>
    <w:r w:rsidR="008E5EA1">
      <w:rPr>
        <w:rFonts w:ascii="宋体" w:hAnsi="宋体"/>
        <w:sz w:val="28"/>
        <w:szCs w:val="28"/>
        <w:lang w:val="zh-CN"/>
      </w:rPr>
      <w:fldChar w:fldCharType="end"/>
    </w:r>
    <w:r>
      <w:rPr>
        <w:rFonts w:ascii="宋体" w:hAnsi="宋体" w:hint="eastAsia"/>
        <w:sz w:val="28"/>
        <w:szCs w:val="28"/>
        <w:lang w:val="zh-CN"/>
      </w:rPr>
      <w:t>—</w:t>
    </w:r>
  </w:p>
  <w:p w14:paraId="4BF3D742"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55BD" w14:textId="77777777" w:rsidR="00CA1056" w:rsidRDefault="00CA1056">
      <w:r>
        <w:separator/>
      </w:r>
    </w:p>
  </w:footnote>
  <w:footnote w:type="continuationSeparator" w:id="0">
    <w:p w14:paraId="16ECDD8E" w14:textId="77777777" w:rsidR="00CA1056" w:rsidRDefault="00CA1056">
      <w:r>
        <w:continuationSeparator/>
      </w:r>
    </w:p>
  </w:footnote>
  <w:footnote w:id="1">
    <w:p w14:paraId="4532D96B"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4ACBA5CD"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w:t>
      </w:r>
      <w:proofErr w:type="gramStart"/>
      <w:r>
        <w:rPr>
          <w:rFonts w:hint="eastAsia"/>
        </w:rPr>
        <w:t>经情况</w:t>
      </w:r>
      <w:proofErr w:type="gramEnd"/>
      <w:r>
        <w:rPr>
          <w:rFonts w:hint="eastAsia"/>
        </w:rPr>
        <w:t>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39520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D0A59"/>
    <w:rsid w:val="000E2499"/>
    <w:rsid w:val="000F1FE6"/>
    <w:rsid w:val="000F3938"/>
    <w:rsid w:val="00103F22"/>
    <w:rsid w:val="00106106"/>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07E59"/>
    <w:rsid w:val="00211DB2"/>
    <w:rsid w:val="00213888"/>
    <w:rsid w:val="00251D91"/>
    <w:rsid w:val="00256C0E"/>
    <w:rsid w:val="002606EC"/>
    <w:rsid w:val="00263D35"/>
    <w:rsid w:val="002741B5"/>
    <w:rsid w:val="002769EB"/>
    <w:rsid w:val="002B78F9"/>
    <w:rsid w:val="002C57E9"/>
    <w:rsid w:val="002D080D"/>
    <w:rsid w:val="002D434E"/>
    <w:rsid w:val="002E1D34"/>
    <w:rsid w:val="002E5B6F"/>
    <w:rsid w:val="002F16E2"/>
    <w:rsid w:val="002F45EA"/>
    <w:rsid w:val="002F4C05"/>
    <w:rsid w:val="002F6152"/>
    <w:rsid w:val="0030084E"/>
    <w:rsid w:val="0031389B"/>
    <w:rsid w:val="00315090"/>
    <w:rsid w:val="0032100B"/>
    <w:rsid w:val="003308F2"/>
    <w:rsid w:val="003333ED"/>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35F98"/>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7956"/>
    <w:rsid w:val="007C5833"/>
    <w:rsid w:val="007E6E7B"/>
    <w:rsid w:val="007F7855"/>
    <w:rsid w:val="007F7A08"/>
    <w:rsid w:val="00800E44"/>
    <w:rsid w:val="00824FF7"/>
    <w:rsid w:val="00873EF4"/>
    <w:rsid w:val="008746F8"/>
    <w:rsid w:val="00876001"/>
    <w:rsid w:val="008816ED"/>
    <w:rsid w:val="0089394D"/>
    <w:rsid w:val="00894D40"/>
    <w:rsid w:val="00897BBA"/>
    <w:rsid w:val="008B65BF"/>
    <w:rsid w:val="008B6A77"/>
    <w:rsid w:val="008D03A3"/>
    <w:rsid w:val="008E5843"/>
    <w:rsid w:val="008E5EA1"/>
    <w:rsid w:val="008E7106"/>
    <w:rsid w:val="00900652"/>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3E2C"/>
    <w:rsid w:val="00A616E3"/>
    <w:rsid w:val="00AA18A6"/>
    <w:rsid w:val="00AB01F9"/>
    <w:rsid w:val="00AB146A"/>
    <w:rsid w:val="00AC2024"/>
    <w:rsid w:val="00AC58CA"/>
    <w:rsid w:val="00AD3851"/>
    <w:rsid w:val="00AD4B31"/>
    <w:rsid w:val="00AD512B"/>
    <w:rsid w:val="00AE76EE"/>
    <w:rsid w:val="00AF2584"/>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C8E"/>
    <w:rsid w:val="00B842D6"/>
    <w:rsid w:val="00BA0746"/>
    <w:rsid w:val="00BA1E5E"/>
    <w:rsid w:val="00BB5B2D"/>
    <w:rsid w:val="00BB73FF"/>
    <w:rsid w:val="00BC3121"/>
    <w:rsid w:val="00BD513B"/>
    <w:rsid w:val="00BD6D5A"/>
    <w:rsid w:val="00BD7433"/>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A1056"/>
    <w:rsid w:val="00CB3A87"/>
    <w:rsid w:val="00CC0CC7"/>
    <w:rsid w:val="00CC39DE"/>
    <w:rsid w:val="00CC45A0"/>
    <w:rsid w:val="00CD30EB"/>
    <w:rsid w:val="00CD43B7"/>
    <w:rsid w:val="00CF1291"/>
    <w:rsid w:val="00CF298F"/>
    <w:rsid w:val="00CF654B"/>
    <w:rsid w:val="00CF6B61"/>
    <w:rsid w:val="00D04630"/>
    <w:rsid w:val="00D063B9"/>
    <w:rsid w:val="00D12111"/>
    <w:rsid w:val="00D17A16"/>
    <w:rsid w:val="00D2649B"/>
    <w:rsid w:val="00D30018"/>
    <w:rsid w:val="00D34ABF"/>
    <w:rsid w:val="00D514B7"/>
    <w:rsid w:val="00D519C7"/>
    <w:rsid w:val="00D56148"/>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17B9"/>
    <w:rsid w:val="00E84769"/>
    <w:rsid w:val="00EA2BFE"/>
    <w:rsid w:val="00EA3A46"/>
    <w:rsid w:val="00EA42D5"/>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6D13"/>
    <w:rsid w:val="00F77543"/>
    <w:rsid w:val="00F85BD2"/>
    <w:rsid w:val="00F914C9"/>
    <w:rsid w:val="00F921BE"/>
    <w:rsid w:val="00F9470A"/>
    <w:rsid w:val="00F94A77"/>
    <w:rsid w:val="00F95128"/>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21B2"/>
  <w15:docId w15:val="{4E1C0BB1-C357-45A9-9941-8EEDCC7F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904</Words>
  <Characters>5154</Characters>
  <Application>Microsoft Office Word</Application>
  <DocSecurity>0</DocSecurity>
  <Lines>42</Lines>
  <Paragraphs>12</Paragraphs>
  <ScaleCrop>false</ScaleCrop>
  <Company>Microsoft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sj</cp:lastModifiedBy>
  <cp:revision>2</cp:revision>
  <cp:lastPrinted>2026-04-27T01:42:00Z</cp:lastPrinted>
  <dcterms:created xsi:type="dcterms:W3CDTF">2026-05-20T07:17:00Z</dcterms:created>
  <dcterms:modified xsi:type="dcterms:W3CDTF">2026-05-20T07:17:00Z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