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4324E">
      <w:pPr>
        <w:rPr>
          <w:rFonts w:hint="eastAsia" w:ascii="黑体" w:eastAsia="黑体"/>
          <w:color w:val="000000"/>
          <w:szCs w:val="32"/>
        </w:rPr>
      </w:pPr>
      <w:bookmarkStart w:id="0" w:name="_GoBack"/>
      <w:r>
        <w:rPr>
          <w:rFonts w:hint="eastAsia" w:ascii="黑体" w:eastAsia="黑体"/>
          <w:color w:val="000000"/>
          <w:szCs w:val="32"/>
        </w:rPr>
        <w:t>附件2</w:t>
      </w:r>
    </w:p>
    <w:p w14:paraId="015FE703">
      <w:pPr>
        <w:spacing w:line="570" w:lineRule="exact"/>
        <w:rPr>
          <w:rFonts w:hint="eastAsia"/>
          <w:color w:val="000000"/>
          <w:szCs w:val="32"/>
        </w:rPr>
      </w:pPr>
    </w:p>
    <w:p w14:paraId="09A37E96">
      <w:pPr>
        <w:spacing w:line="570" w:lineRule="exact"/>
        <w:ind w:right="-108" w:rightChars="-36"/>
        <w:jc w:val="center"/>
        <w:rPr>
          <w:rFonts w:hint="eastAsia"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2025年上海体育消费节典型案例报告</w:t>
      </w:r>
    </w:p>
    <w:bookmarkEnd w:id="0"/>
    <w:p w14:paraId="6CCAE951">
      <w:pPr>
        <w:spacing w:line="570" w:lineRule="exact"/>
        <w:ind w:right="-108" w:rightChars="-36"/>
        <w:rPr>
          <w:rFonts w:ascii="黑体" w:hAnsi="黑体" w:eastAsia="黑体"/>
          <w:color w:val="000000"/>
          <w:sz w:val="44"/>
          <w:szCs w:val="44"/>
        </w:rPr>
      </w:pPr>
    </w:p>
    <w:p w14:paraId="45D3DB43">
      <w:pPr>
        <w:spacing w:line="570" w:lineRule="exact"/>
        <w:ind w:right="-108" w:rightChars="-36" w:firstLine="600" w:firstLineChars="200"/>
        <w:rPr>
          <w:color w:val="000000"/>
        </w:rPr>
      </w:pPr>
      <w:r>
        <w:rPr>
          <w:rFonts w:hint="eastAsia"/>
          <w:color w:val="000000"/>
        </w:rPr>
        <w:t>案例报告需自行拟定标题（体现案例特色），包括但不限于以下内容（篇幅不超过</w:t>
      </w:r>
      <w:r>
        <w:rPr>
          <w:color w:val="000000"/>
        </w:rPr>
        <w:t>2000</w:t>
      </w:r>
      <w:r>
        <w:rPr>
          <w:rFonts w:hint="eastAsia"/>
          <w:color w:val="000000"/>
        </w:rPr>
        <w:t>字）：</w:t>
      </w:r>
    </w:p>
    <w:p w14:paraId="04ACB972">
      <w:pPr>
        <w:pStyle w:val="4"/>
        <w:spacing w:line="570" w:lineRule="exact"/>
        <w:ind w:left="600" w:right="-108" w:rightChars="-36" w:firstLine="0" w:firstLineChars="0"/>
        <w:rPr>
          <w:rFonts w:hint="eastAsia" w:ascii="黑体" w:hAnsi="Times New Roman" w:eastAsia="黑体"/>
          <w:color w:val="000000"/>
          <w:sz w:val="30"/>
          <w:szCs w:val="30"/>
        </w:rPr>
      </w:pPr>
      <w:r>
        <w:rPr>
          <w:rFonts w:hint="eastAsia" w:ascii="黑体" w:hAnsi="Times New Roman" w:eastAsia="黑体"/>
          <w:color w:val="000000"/>
          <w:sz w:val="30"/>
          <w:szCs w:val="30"/>
        </w:rPr>
        <w:t>一、基本情况</w:t>
      </w:r>
    </w:p>
    <w:p w14:paraId="39F72335">
      <w:pPr>
        <w:pStyle w:val="4"/>
        <w:spacing w:line="570" w:lineRule="exact"/>
        <w:ind w:right="-108" w:rightChars="-36" w:firstLine="624"/>
        <w:rPr>
          <w:rFonts w:hint="eastAsia"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案例基本情况，包括活动背景、主要内容、产生的经济效益及同比变化、活动参与人次（或者场地接待人次）及同比变化、带动消费数据。</w:t>
      </w:r>
    </w:p>
    <w:p w14:paraId="281271D2">
      <w:pPr>
        <w:pStyle w:val="4"/>
        <w:spacing w:line="570" w:lineRule="exact"/>
        <w:ind w:right="-108" w:rightChars="-36" w:firstLine="624"/>
        <w:rPr>
          <w:rFonts w:hint="eastAsia" w:ascii="黑体" w:hAnsi="Times New Roman" w:eastAsia="黑体"/>
          <w:color w:val="000000"/>
          <w:sz w:val="30"/>
          <w:szCs w:val="30"/>
        </w:rPr>
      </w:pPr>
      <w:r>
        <w:rPr>
          <w:rFonts w:hint="eastAsia" w:ascii="黑体" w:hAnsi="Times New Roman" w:eastAsia="黑体"/>
          <w:color w:val="000000"/>
          <w:sz w:val="30"/>
          <w:szCs w:val="30"/>
        </w:rPr>
        <w:t>二、主要特色</w:t>
      </w:r>
    </w:p>
    <w:p w14:paraId="6E58B332">
      <w:pPr>
        <w:pStyle w:val="4"/>
        <w:spacing w:line="570" w:lineRule="exact"/>
        <w:ind w:right="-108" w:rightChars="-36" w:firstLine="624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联动文商旅活动的体育赛事：围绕活动（赛事）内容、运作方式、市场开发、宣传推广、拉动消费等方面，阐述主要特色和创新做法。</w:t>
      </w:r>
    </w:p>
    <w:p w14:paraId="11C9AA27">
      <w:pPr>
        <w:pStyle w:val="4"/>
        <w:spacing w:line="570" w:lineRule="exact"/>
        <w:ind w:right="-108" w:rightChars="-36" w:firstLine="624"/>
        <w:rPr>
          <w:rFonts w:hint="eastAsia"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体育综合促消费项目：围绕商业营销计划、消费场景打造、业态布局优化、运营模式、服务内容、销售模式、品牌推广、消费便利度和消费体验提升等方面，阐述主要特色和创新做法。</w:t>
      </w:r>
    </w:p>
    <w:p w14:paraId="22E3BCA9">
      <w:pPr>
        <w:pStyle w:val="4"/>
        <w:spacing w:line="570" w:lineRule="exact"/>
        <w:ind w:right="-108" w:rightChars="-36" w:firstLine="624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主要特色提炼成3个方面为宜。</w:t>
      </w:r>
    </w:p>
    <w:p w14:paraId="67DB7672">
      <w:pPr>
        <w:pStyle w:val="4"/>
        <w:spacing w:line="570" w:lineRule="exact"/>
        <w:ind w:right="-108" w:rightChars="-36" w:firstLine="624"/>
        <w:rPr>
          <w:rFonts w:hint="eastAsia" w:ascii="黑体" w:hAnsi="Times New Roman" w:eastAsia="黑体"/>
          <w:color w:val="000000"/>
          <w:sz w:val="30"/>
          <w:szCs w:val="30"/>
        </w:rPr>
      </w:pPr>
      <w:r>
        <w:rPr>
          <w:rFonts w:hint="eastAsia" w:ascii="黑体" w:hAnsi="Times New Roman" w:eastAsia="黑体"/>
          <w:color w:val="000000"/>
          <w:sz w:val="30"/>
          <w:szCs w:val="30"/>
        </w:rPr>
        <w:t>三、经验成效</w:t>
      </w:r>
    </w:p>
    <w:p w14:paraId="62E878C2">
      <w:pPr>
        <w:pStyle w:val="4"/>
        <w:spacing w:line="570" w:lineRule="exact"/>
        <w:ind w:right="-108" w:rightChars="-36" w:firstLine="624"/>
        <w:rPr>
          <w:rFonts w:hint="eastAsia"/>
          <w:color w:val="000000"/>
          <w:szCs w:val="32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结合工作开展情况，提出体育促消费工作的优秀经验，形成体育领域市场化运作可推广的优秀范式，为市场主体支持参与体育工作提供有益借鉴。</w:t>
      </w:r>
    </w:p>
    <w:p w14:paraId="64C896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B1248"/>
    <w:rsid w:val="717B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iPriority w:val="0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2025-11-06T01:41:00Z</dcterms:created>
  <dc:creator>Dancy</dc:creator>
  <cp:lastModifiedBy>Dancy</cp:lastModifiedBy>
  <dcterms:modified xsi:type="dcterms:W3CDTF">2025-11-06T01:42:19Z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26C53620C3BA4901AFA90245EB8C9926_11</vt:lpwstr>
  </property>
  <property fmtid="{D5CDD505-2E9C-101B-9397-08002B2CF9AE}" pid="4" name="KSOTemplateDocerSaveRecord">
    <vt:lpwstr>eyJoZGlkIjoiMmU2YjhjYzU2Y2U1ZmZiNWVhZWRjNTg4OTE4MTk1ZjQiLCJ1c2VySWQiOiI3MDE2NTU1ODEifQ==</vt:lpwstr>
  </property>
</Properties>
</file>