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D28682">
      <w:pPr>
        <w:spacing w:line="570" w:lineRule="exact"/>
        <w:rPr>
          <w:rFonts w:hint="eastAsia" w:ascii="黑体" w:eastAsia="黑体"/>
          <w:szCs w:val="32"/>
        </w:rPr>
      </w:pPr>
      <w:r>
        <w:rPr>
          <w:rFonts w:hint="eastAsia" w:ascii="黑体" w:eastAsia="黑体"/>
          <w:szCs w:val="32"/>
        </w:rPr>
        <w:t>附件1</w:t>
      </w:r>
    </w:p>
    <w:p w14:paraId="2DF27297">
      <w:pPr>
        <w:spacing w:line="570" w:lineRule="exact"/>
        <w:rPr>
          <w:rFonts w:hint="eastAsia"/>
          <w:szCs w:val="32"/>
        </w:rPr>
      </w:pPr>
    </w:p>
    <w:p w14:paraId="023603AB">
      <w:pPr>
        <w:spacing w:line="570" w:lineRule="exact"/>
        <w:contextualSpacing/>
        <w:jc w:val="center"/>
        <w:rPr>
          <w:rFonts w:eastAsia="华文中宋"/>
          <w:sz w:val="44"/>
          <w:szCs w:val="44"/>
        </w:rPr>
      </w:pPr>
      <w:r>
        <w:rPr>
          <w:rFonts w:hAnsi="华文中宋" w:eastAsia="华文中宋"/>
          <w:sz w:val="44"/>
          <w:szCs w:val="44"/>
        </w:rPr>
        <w:t>上海市高危险性体育项目（游泳）</w:t>
      </w:r>
    </w:p>
    <w:p w14:paraId="4EEE9245">
      <w:pPr>
        <w:spacing w:line="570" w:lineRule="exact"/>
        <w:contextualSpacing/>
        <w:jc w:val="center"/>
        <w:rPr>
          <w:rFonts w:eastAsia="华文中宋"/>
          <w:sz w:val="44"/>
          <w:szCs w:val="44"/>
        </w:rPr>
      </w:pPr>
      <w:r>
        <w:rPr>
          <w:rFonts w:hAnsi="华文中宋" w:eastAsia="华文中宋"/>
          <w:sz w:val="44"/>
          <w:szCs w:val="44"/>
        </w:rPr>
        <w:t>经营许可实施办法</w:t>
      </w:r>
    </w:p>
    <w:p w14:paraId="0CF7F45A">
      <w:pPr>
        <w:spacing w:line="570" w:lineRule="exact"/>
        <w:rPr>
          <w:rFonts w:hint="eastAsia" w:eastAsia="华文中宋"/>
          <w:sz w:val="28"/>
          <w:szCs w:val="28"/>
        </w:rPr>
      </w:pPr>
    </w:p>
    <w:p w14:paraId="046E9DF0">
      <w:pPr>
        <w:snapToGrid w:val="0"/>
        <w:spacing w:line="570" w:lineRule="exact"/>
        <w:ind w:firstLine="622" w:firstLineChars="200"/>
      </w:pPr>
      <w:r>
        <w:rPr>
          <w:rFonts w:eastAsia="黑体"/>
        </w:rPr>
        <w:t>第一条</w:t>
      </w:r>
      <w:r>
        <w:t>（目的和依据）</w:t>
      </w:r>
    </w:p>
    <w:p w14:paraId="39BBFD7C">
      <w:pPr>
        <w:snapToGrid w:val="0"/>
        <w:spacing w:line="570" w:lineRule="exact"/>
        <w:ind w:firstLine="622" w:firstLineChars="200"/>
        <w:rPr>
          <w:kern w:val="0"/>
        </w:rPr>
      </w:pPr>
      <w:r>
        <w:t>为规范本市游泳</w:t>
      </w:r>
      <w:r>
        <w:rPr>
          <w:kern w:val="0"/>
        </w:rPr>
        <w:t>项目经营活动和管理</w:t>
      </w:r>
      <w:r>
        <w:t>，切实保障消费者的人身安全，促进游泳市场健康发展，根据</w:t>
      </w:r>
      <w:r>
        <w:rPr>
          <w:kern w:val="0"/>
        </w:rPr>
        <w:t>《全民健身条例》、《上海市市民体育健身条例》、</w:t>
      </w:r>
      <w:r>
        <w:t>《经营高危险性体育项目许可管理办法》（以下简称《办法》）</w:t>
      </w:r>
      <w:r>
        <w:rPr>
          <w:kern w:val="0"/>
        </w:rPr>
        <w:t>、《上海市体育设施管理办法》等有关法律、法规，以及《第一批高危险性体育项目目录公告》和《上海市游泳场所开放服务规定》</w:t>
      </w:r>
      <w:r>
        <w:t>，</w:t>
      </w:r>
      <w:r>
        <w:rPr>
          <w:kern w:val="0"/>
        </w:rPr>
        <w:t>结合本市实际，</w:t>
      </w:r>
      <w:r>
        <w:t>制定本办法。</w:t>
      </w:r>
    </w:p>
    <w:p w14:paraId="27BAA2AB">
      <w:pPr>
        <w:snapToGrid w:val="0"/>
        <w:spacing w:line="570" w:lineRule="exact"/>
        <w:ind w:firstLine="622" w:firstLineChars="200"/>
      </w:pPr>
      <w:r>
        <w:rPr>
          <w:rFonts w:eastAsia="黑体"/>
        </w:rPr>
        <w:t>第二条</w:t>
      </w:r>
      <w:r>
        <w:rPr>
          <w:bCs/>
        </w:rPr>
        <w:t>（</w:t>
      </w:r>
      <w:r>
        <w:t>适用范围）</w:t>
      </w:r>
    </w:p>
    <w:p w14:paraId="37D5AB36">
      <w:pPr>
        <w:snapToGrid w:val="0"/>
        <w:spacing w:line="570" w:lineRule="exact"/>
        <w:ind w:firstLine="622" w:firstLineChars="200"/>
      </w:pPr>
      <w:r>
        <w:t>本市企业、个体工商户从事游泳场所开放、技能培训、竞赛表演等经营活动的行政许可和监督管理，适用本办法。</w:t>
      </w:r>
    </w:p>
    <w:p w14:paraId="3B1D4CEA">
      <w:pPr>
        <w:snapToGrid w:val="0"/>
        <w:spacing w:line="570" w:lineRule="exact"/>
        <w:ind w:firstLine="622" w:firstLineChars="200"/>
      </w:pPr>
      <w:r>
        <w:rPr>
          <w:rFonts w:eastAsia="黑体"/>
        </w:rPr>
        <w:t>第三条</w:t>
      </w:r>
      <w:r>
        <w:rPr>
          <w:bCs/>
        </w:rPr>
        <w:t>（管理</w:t>
      </w:r>
      <w:r>
        <w:t>职责）</w:t>
      </w:r>
    </w:p>
    <w:p w14:paraId="68999DB9">
      <w:pPr>
        <w:snapToGrid w:val="0"/>
        <w:spacing w:line="570" w:lineRule="exact"/>
        <w:ind w:firstLine="622" w:firstLineChars="200"/>
      </w:pPr>
      <w:r>
        <w:t>市体育行政部门是本市经营游泳项目的主管部门，指导本市经营游泳项目行政许可和市场监督管理工作。区体育行政部门负责本行政区域的经营游泳项目行政许可和市场监督管理</w:t>
      </w:r>
      <w:r>
        <w:rPr>
          <w:kern w:val="0"/>
        </w:rPr>
        <w:t>工作</w:t>
      </w:r>
      <w:r>
        <w:t>。</w:t>
      </w:r>
    </w:p>
    <w:p w14:paraId="2BEE6EDF">
      <w:pPr>
        <w:snapToGrid w:val="0"/>
        <w:spacing w:line="570" w:lineRule="exact"/>
        <w:ind w:firstLine="622" w:firstLineChars="200"/>
        <w:rPr>
          <w:kern w:val="0"/>
        </w:rPr>
      </w:pPr>
      <w:r>
        <w:rPr>
          <w:rFonts w:eastAsia="黑体"/>
        </w:rPr>
        <w:t>第四条</w:t>
      </w:r>
      <w:r>
        <w:rPr>
          <w:kern w:val="0"/>
        </w:rPr>
        <w:t>（业务管理）</w:t>
      </w:r>
    </w:p>
    <w:p w14:paraId="189864CB">
      <w:pPr>
        <w:snapToGrid w:val="0"/>
        <w:spacing w:line="570" w:lineRule="exact"/>
        <w:ind w:firstLine="622" w:firstLineChars="200"/>
      </w:pPr>
      <w:r>
        <w:t>市社会体育管理中心是本市经营游泳项目的业务管理部门，负责组织协调本市游泳项目</w:t>
      </w:r>
      <w:r>
        <w:rPr>
          <w:kern w:val="0"/>
        </w:rPr>
        <w:t>经营活动</w:t>
      </w:r>
      <w:r>
        <w:t>的日常</w:t>
      </w:r>
      <w:r>
        <w:rPr>
          <w:kern w:val="0"/>
        </w:rPr>
        <w:t>管理</w:t>
      </w:r>
      <w:r>
        <w:t>。</w:t>
      </w:r>
    </w:p>
    <w:p w14:paraId="69826E28">
      <w:pPr>
        <w:snapToGrid w:val="0"/>
        <w:spacing w:line="570" w:lineRule="exact"/>
        <w:ind w:firstLine="622" w:firstLineChars="200"/>
        <w:rPr>
          <w:kern w:val="0"/>
        </w:rPr>
      </w:pPr>
      <w:r>
        <w:t>市</w:t>
      </w:r>
      <w:bookmarkStart w:id="0" w:name="OLE_LINK4"/>
      <w:bookmarkStart w:id="1" w:name="OLE_LINK5"/>
      <w:r>
        <w:t>社会体育管理中心</w:t>
      </w:r>
      <w:bookmarkEnd w:id="0"/>
      <w:bookmarkEnd w:id="1"/>
      <w:r>
        <w:rPr>
          <w:kern w:val="0"/>
        </w:rPr>
        <w:t>应当将有关管理文件、实施监管情况定期报送市体育行政部门法制机构。</w:t>
      </w:r>
    </w:p>
    <w:p w14:paraId="78869A45">
      <w:pPr>
        <w:spacing w:line="570" w:lineRule="exact"/>
      </w:pPr>
      <w:r>
        <w:t xml:space="preserve">    本市各级游泳救生协会、游泳协会按照有关职责及协会章程规定，协助做好游泳项目的行业规范、行业自律和指导服务工作。</w:t>
      </w:r>
    </w:p>
    <w:p w14:paraId="5619C27B">
      <w:pPr>
        <w:snapToGrid w:val="0"/>
        <w:spacing w:line="570" w:lineRule="exact"/>
        <w:ind w:firstLine="622" w:firstLineChars="200"/>
        <w:rPr>
          <w:kern w:val="0"/>
        </w:rPr>
      </w:pPr>
      <w:r>
        <w:rPr>
          <w:rFonts w:eastAsia="黑体"/>
        </w:rPr>
        <w:t>第五条</w:t>
      </w:r>
      <w:r>
        <w:t>（审批范围和权限）</w:t>
      </w:r>
    </w:p>
    <w:p w14:paraId="08C928AA">
      <w:pPr>
        <w:snapToGrid w:val="0"/>
        <w:spacing w:line="570" w:lineRule="exact"/>
        <w:ind w:firstLine="622" w:firstLineChars="200"/>
      </w:pPr>
      <w:r>
        <w:t>经营游泳项目的，由游泳场所所在地的区体育行政部门负责审批。</w:t>
      </w:r>
    </w:p>
    <w:p w14:paraId="53F95DB4">
      <w:pPr>
        <w:snapToGrid w:val="0"/>
        <w:spacing w:line="570" w:lineRule="exact"/>
        <w:ind w:firstLine="622" w:firstLineChars="200"/>
      </w:pPr>
      <w:r>
        <w:rPr>
          <w:rFonts w:eastAsia="黑体"/>
        </w:rPr>
        <w:t>第六条</w:t>
      </w:r>
      <w:r>
        <w:t>（审批条件）</w:t>
      </w:r>
    </w:p>
    <w:p w14:paraId="1FF17D33">
      <w:pPr>
        <w:snapToGrid w:val="0"/>
        <w:spacing w:line="570" w:lineRule="exact"/>
        <w:ind w:firstLine="622" w:firstLineChars="200"/>
        <w:rPr>
          <w:kern w:val="0"/>
        </w:rPr>
      </w:pPr>
      <w:r>
        <w:rPr>
          <w:kern w:val="0"/>
        </w:rPr>
        <w:t>经营游泳项目，应当具备下列条件：</w:t>
      </w:r>
    </w:p>
    <w:p w14:paraId="6644BE8B">
      <w:pPr>
        <w:snapToGrid w:val="0"/>
        <w:spacing w:line="570" w:lineRule="exact"/>
        <w:ind w:firstLine="622" w:firstLineChars="200"/>
        <w:rPr>
          <w:kern w:val="0"/>
        </w:rPr>
      </w:pPr>
      <w:r>
        <w:rPr>
          <w:kern w:val="0"/>
        </w:rPr>
        <w:t>（一）游泳场所、救生设施、救生器材等设施符合国家有关标准（GB19079.1</w:t>
      </w:r>
      <w:r>
        <w:rPr>
          <w:rFonts w:hint="eastAsia" w:ascii="宋体" w:hAnsi="宋体" w:eastAsia="宋体"/>
          <w:kern w:val="0"/>
        </w:rPr>
        <w:t>-</w:t>
      </w:r>
      <w:r>
        <w:rPr>
          <w:kern w:val="0"/>
        </w:rPr>
        <w:t>2013），消毒剂检测装备、储存场所及设施符合有关规定；</w:t>
      </w:r>
    </w:p>
    <w:p w14:paraId="6DBED5AD">
      <w:pPr>
        <w:snapToGrid w:val="0"/>
        <w:spacing w:line="570" w:lineRule="exact"/>
        <w:ind w:firstLine="622" w:firstLineChars="200"/>
        <w:rPr>
          <w:kern w:val="0"/>
        </w:rPr>
      </w:pPr>
      <w:r>
        <w:t>（二）</w:t>
      </w:r>
      <w:r>
        <w:rPr>
          <w:kern w:val="0"/>
        </w:rPr>
        <w:t>应当配备符合国家标准（GB19079.1</w:t>
      </w:r>
      <w:r>
        <w:rPr>
          <w:rFonts w:ascii="宋体" w:hAnsi="宋体" w:eastAsia="宋体"/>
          <w:kern w:val="0"/>
        </w:rPr>
        <w:t>-</w:t>
      </w:r>
      <w:r>
        <w:rPr>
          <w:kern w:val="0"/>
        </w:rPr>
        <w:t>2013）数量要求、具有国家职业资格证书、年度审核合格的游泳救生员和社会体育指导员（游泳），配备具有执业资格证书的水质管理员和相关从业人员；</w:t>
      </w:r>
    </w:p>
    <w:p w14:paraId="63D71099">
      <w:pPr>
        <w:snapToGrid w:val="0"/>
        <w:spacing w:line="570" w:lineRule="exact"/>
        <w:ind w:firstLine="622" w:firstLineChars="200"/>
        <w:rPr>
          <w:kern w:val="0"/>
        </w:rPr>
      </w:pPr>
      <w:r>
        <w:rPr>
          <w:kern w:val="0"/>
        </w:rPr>
        <w:t>游泳救生员配备标准：水面面积在250</w:t>
      </w:r>
      <w:r>
        <w:rPr>
          <w:rFonts w:hAnsi="仿宋" w:eastAsia="仿宋"/>
          <w:kern w:val="0"/>
        </w:rPr>
        <w:t>㎡</w:t>
      </w:r>
      <w:r>
        <w:rPr>
          <w:kern w:val="0"/>
        </w:rPr>
        <w:t>及以下的人工游泳场所，至少配备游泳救生员3人；水面面积250</w:t>
      </w:r>
      <w:r>
        <w:rPr>
          <w:rFonts w:hAnsi="仿宋" w:eastAsia="仿宋"/>
          <w:kern w:val="0"/>
        </w:rPr>
        <w:t>㎡</w:t>
      </w:r>
      <w:r>
        <w:rPr>
          <w:kern w:val="0"/>
        </w:rPr>
        <w:t>以上的，按每增加250</w:t>
      </w:r>
      <w:r>
        <w:rPr>
          <w:rFonts w:hAnsi="仿宋" w:eastAsia="仿宋"/>
          <w:kern w:val="0"/>
        </w:rPr>
        <w:t>㎡</w:t>
      </w:r>
      <w:r>
        <w:rPr>
          <w:kern w:val="0"/>
        </w:rPr>
        <w:t>及以内增加1人的比例，配备游泳救生员；</w:t>
      </w:r>
    </w:p>
    <w:p w14:paraId="20BDF1CA">
      <w:pPr>
        <w:snapToGrid w:val="0"/>
        <w:spacing w:line="570" w:lineRule="exact"/>
        <w:ind w:firstLine="622" w:firstLineChars="200"/>
        <w:rPr>
          <w:kern w:val="0"/>
        </w:rPr>
      </w:pPr>
      <w:r>
        <w:rPr>
          <w:kern w:val="0"/>
        </w:rPr>
        <w:t>（三）具有</w:t>
      </w:r>
      <w:r>
        <w:t>安全生产岗位责任制，溺水抢救操作规程，</w:t>
      </w:r>
      <w:r>
        <w:rPr>
          <w:kern w:val="0"/>
        </w:rPr>
        <w:t>消毒剂泄漏、中毒和</w:t>
      </w:r>
      <w:r>
        <w:t>溺水等突发事件</w:t>
      </w:r>
      <w:r>
        <w:rPr>
          <w:kern w:val="0"/>
        </w:rPr>
        <w:t>应急救援预案，</w:t>
      </w:r>
      <w:r>
        <w:t>游泳设施、设备、器材安全检查、救生员定期培训制度</w:t>
      </w:r>
      <w:r>
        <w:rPr>
          <w:kern w:val="0"/>
        </w:rPr>
        <w:t>等安全保障制度和措施；</w:t>
      </w:r>
    </w:p>
    <w:p w14:paraId="14E884C9">
      <w:pPr>
        <w:snapToGrid w:val="0"/>
        <w:spacing w:line="570" w:lineRule="exact"/>
        <w:ind w:firstLine="622" w:firstLineChars="200"/>
      </w:pPr>
      <w:r>
        <w:rPr>
          <w:rFonts w:eastAsia="黑体"/>
        </w:rPr>
        <w:t>第七条</w:t>
      </w:r>
      <w:r>
        <w:t>（申请材料）</w:t>
      </w:r>
    </w:p>
    <w:p w14:paraId="0CDDF2CC">
      <w:pPr>
        <w:snapToGrid w:val="0"/>
        <w:spacing w:line="570" w:lineRule="exact"/>
        <w:ind w:firstLine="622" w:firstLineChars="200"/>
      </w:pPr>
      <w:r>
        <w:t xml:space="preserve">申请经营游泳项目，应当提交下列材料： </w:t>
      </w:r>
    </w:p>
    <w:p w14:paraId="7F2B0588">
      <w:pPr>
        <w:snapToGrid w:val="0"/>
        <w:spacing w:line="570" w:lineRule="exact"/>
        <w:ind w:firstLine="606" w:firstLineChars="200"/>
      </w:pPr>
      <w:r>
        <w:rPr>
          <w:spacing w:val="-4"/>
        </w:rPr>
        <w:t>（一）申请书。包括申请人的名称（身份证复印件）</w:t>
      </w:r>
      <w:r>
        <w:rPr>
          <w:rFonts w:hint="eastAsia"/>
          <w:spacing w:val="-4"/>
        </w:rPr>
        <w:t>、住所</w:t>
      </w:r>
      <w:r>
        <w:rPr>
          <w:spacing w:val="-4"/>
        </w:rPr>
        <w:t>，经营机构的名称、地址、经营场所等内容；</w:t>
      </w:r>
    </w:p>
    <w:p w14:paraId="338E851E">
      <w:pPr>
        <w:snapToGrid w:val="0"/>
        <w:spacing w:line="570" w:lineRule="exact"/>
        <w:ind w:firstLine="622" w:firstLineChars="200"/>
      </w:pPr>
      <w:r>
        <w:t>（二）体育设施符合相关国家标准的说明性材料及相关合格证明</w:t>
      </w:r>
      <w:r>
        <w:rPr>
          <w:rFonts w:hint="eastAsia"/>
        </w:rPr>
        <w:t>（原件、复印件）</w:t>
      </w:r>
      <w:r>
        <w:t>，申请人可以委托具有资质的认证机构或检测机构</w:t>
      </w:r>
      <w:r>
        <w:rPr>
          <w:rFonts w:hint="eastAsia"/>
        </w:rPr>
        <w:t>出具相关材料</w:t>
      </w:r>
      <w:r>
        <w:t>；</w:t>
      </w:r>
    </w:p>
    <w:p w14:paraId="54F81F00">
      <w:pPr>
        <w:snapToGrid w:val="0"/>
        <w:spacing w:line="570" w:lineRule="exact"/>
        <w:ind w:firstLine="622" w:firstLineChars="200"/>
      </w:pPr>
      <w:r>
        <w:t>（三）游泳场所的所有权或使用权证明及复印件；游泳场所委托、转包或承包的协议书、合同书复印件；</w:t>
      </w:r>
    </w:p>
    <w:p w14:paraId="07E9888C">
      <w:pPr>
        <w:snapToGrid w:val="0"/>
        <w:spacing w:line="570" w:lineRule="exact"/>
        <w:ind w:firstLine="622" w:firstLineChars="200"/>
        <w:rPr>
          <w:kern w:val="0"/>
        </w:rPr>
      </w:pPr>
      <w:r>
        <w:t>（四）游泳</w:t>
      </w:r>
      <w:r>
        <w:rPr>
          <w:kern w:val="0"/>
        </w:rPr>
        <w:t>救生员、</w:t>
      </w:r>
      <w:r>
        <w:t>社会体育指导员（游泳）、</w:t>
      </w:r>
      <w:r>
        <w:rPr>
          <w:kern w:val="0"/>
        </w:rPr>
        <w:t>水质管理员等人员的职业资格证书或执业资格证书</w:t>
      </w:r>
      <w:r>
        <w:t>复印件；不从事游泳培训业务的无需提供社会体育指导员（游泳）相关材料；</w:t>
      </w:r>
    </w:p>
    <w:p w14:paraId="4CEBAF15">
      <w:pPr>
        <w:snapToGrid w:val="0"/>
        <w:spacing w:line="570" w:lineRule="exact"/>
        <w:ind w:firstLine="622" w:firstLineChars="200"/>
        <w:rPr>
          <w:kern w:val="0"/>
        </w:rPr>
      </w:pPr>
      <w:r>
        <w:t>（五）安全保障制度和措施（安全生产岗位责任制、溺水抢救操作规程、溺水事故处理制度、救生员定期培训制度；治安保卫、安全救护、卫生检查、设备维修、人员服务岗位责任制度；</w:t>
      </w:r>
      <w:r>
        <w:rPr>
          <w:kern w:val="0"/>
        </w:rPr>
        <w:t>消毒剂泄漏或中毒事故处理制度；</w:t>
      </w:r>
      <w:r>
        <w:t>场所负责人和救生组长的配备及工作职责；场所投保责任险情况等）的</w:t>
      </w:r>
      <w:r>
        <w:rPr>
          <w:kern w:val="0"/>
        </w:rPr>
        <w:t>书面材料；</w:t>
      </w:r>
    </w:p>
    <w:p w14:paraId="38A10839">
      <w:pPr>
        <w:snapToGrid w:val="0"/>
        <w:spacing w:line="570" w:lineRule="exact"/>
        <w:ind w:firstLine="622" w:firstLineChars="200"/>
      </w:pPr>
      <w:r>
        <w:rPr>
          <w:kern w:val="0"/>
        </w:rPr>
        <w:t>（六）工商营业执照及复印件；</w:t>
      </w:r>
    </w:p>
    <w:p w14:paraId="2D4F5E98">
      <w:pPr>
        <w:snapToGrid w:val="0"/>
        <w:spacing w:line="570" w:lineRule="exact"/>
        <w:ind w:firstLine="622" w:firstLineChars="200"/>
        <w:rPr>
          <w:kern w:val="0"/>
        </w:rPr>
      </w:pPr>
      <w:bookmarkStart w:id="2" w:name="OLE_LINK6"/>
      <w:bookmarkStart w:id="3" w:name="OLE_LINK7"/>
      <w:r>
        <w:rPr>
          <w:kern w:val="0"/>
        </w:rPr>
        <w:t>（七）法律、法规规定的其他材料。</w:t>
      </w:r>
      <w:bookmarkEnd w:id="2"/>
      <w:bookmarkEnd w:id="3"/>
    </w:p>
    <w:p w14:paraId="36BB2E30">
      <w:pPr>
        <w:snapToGrid w:val="0"/>
        <w:spacing w:line="570" w:lineRule="exact"/>
        <w:ind w:firstLine="622" w:firstLineChars="200"/>
        <w:rPr>
          <w:kern w:val="0"/>
        </w:rPr>
      </w:pPr>
      <w:r>
        <w:rPr>
          <w:rFonts w:eastAsia="黑体"/>
        </w:rPr>
        <w:t>第八条</w:t>
      </w:r>
      <w:r>
        <w:t>（审批程序）</w:t>
      </w:r>
    </w:p>
    <w:p w14:paraId="12ED2E2E">
      <w:pPr>
        <w:snapToGrid w:val="0"/>
        <w:spacing w:line="570" w:lineRule="exact"/>
        <w:ind w:firstLine="622" w:firstLineChars="200"/>
      </w:pPr>
      <w:r>
        <w:t>区体育行政部门应当在20个工作日内按照下列程序办理：</w:t>
      </w:r>
    </w:p>
    <w:p w14:paraId="48971311">
      <w:pPr>
        <w:snapToGrid w:val="0"/>
        <w:spacing w:line="570" w:lineRule="exact"/>
        <w:ind w:firstLine="622" w:firstLineChars="200"/>
        <w:rPr>
          <w:kern w:val="0"/>
        </w:rPr>
      </w:pPr>
      <w:r>
        <w:rPr>
          <w:kern w:val="0"/>
        </w:rPr>
        <w:t>（一）</w:t>
      </w:r>
      <w:r>
        <w:t>申请人根据本办法第二条规定，向所在地的区体育行政部门提出书面申请，并递交本办法第七条规定的材料；</w:t>
      </w:r>
    </w:p>
    <w:p w14:paraId="04A3146A">
      <w:pPr>
        <w:snapToGrid w:val="0"/>
        <w:spacing w:line="570" w:lineRule="exact"/>
        <w:ind w:firstLine="622" w:firstLineChars="200"/>
      </w:pPr>
      <w:r>
        <w:rPr>
          <w:kern w:val="0"/>
        </w:rPr>
        <w:t>（二）</w:t>
      </w:r>
      <w:r>
        <w:t>区体育行政部门（受理窗口）收到规定的全部材料后，根据申请事项应具备的基本条件和资质材料当场初审。申请材料不符合条件的，当场退回材料并说明理由。符合条件的，当即制发予以受理通知书；</w:t>
      </w:r>
    </w:p>
    <w:p w14:paraId="12B5F93E">
      <w:pPr>
        <w:snapToGrid w:val="0"/>
        <w:spacing w:line="570" w:lineRule="exact"/>
        <w:ind w:firstLine="622" w:firstLineChars="200"/>
        <w:rPr>
          <w:kern w:val="0"/>
        </w:rPr>
      </w:pPr>
      <w:r>
        <w:rPr>
          <w:kern w:val="0"/>
        </w:rPr>
        <w:t>（三）</w:t>
      </w:r>
      <w:r>
        <w:t>区体育行政部门派两名以上工作人员对申请人的经营场地、设施装备（设备）、安全保护措施等情况进行实地核查；区体育行政部门也可以委托有资质的专业认证机构或检测机构进行实地核查；根据核查意见，区体育行政部门做出批准或不予批准的决定；</w:t>
      </w:r>
    </w:p>
    <w:p w14:paraId="3B7035E2">
      <w:pPr>
        <w:snapToGrid w:val="0"/>
        <w:spacing w:line="570" w:lineRule="exact"/>
        <w:ind w:firstLine="622" w:firstLineChars="200"/>
      </w:pPr>
      <w:r>
        <w:rPr>
          <w:kern w:val="0"/>
        </w:rPr>
        <w:t>（四）</w:t>
      </w:r>
      <w:r>
        <w:t>制作完成许可证，加盖区体育行政部门公章（或行政许可专用章），通知申请人，并将许可证发给申请人；</w:t>
      </w:r>
    </w:p>
    <w:p w14:paraId="6FA24EF1">
      <w:pPr>
        <w:snapToGrid w:val="0"/>
        <w:spacing w:line="570" w:lineRule="exact"/>
        <w:ind w:firstLine="622" w:firstLineChars="200"/>
      </w:pPr>
      <w:r>
        <w:rPr>
          <w:kern w:val="0"/>
        </w:rPr>
        <w:t>（五）</w:t>
      </w:r>
      <w:r>
        <w:t>区体育行政部门对有关申请、核查和批准意见材料，进行建档归案；</w:t>
      </w:r>
    </w:p>
    <w:p w14:paraId="2DF87F0A">
      <w:pPr>
        <w:snapToGrid w:val="0"/>
        <w:spacing w:line="570" w:lineRule="exact"/>
        <w:ind w:firstLine="622" w:firstLineChars="200"/>
      </w:pPr>
      <w:r>
        <w:t>（六）区体育行政部门应当及时将审批许可情况报市社会体育管理中心备案，并上网公布。</w:t>
      </w:r>
    </w:p>
    <w:p w14:paraId="2072AA7A">
      <w:pPr>
        <w:snapToGrid w:val="0"/>
        <w:spacing w:line="570" w:lineRule="exact"/>
        <w:ind w:firstLine="622" w:firstLineChars="200"/>
        <w:rPr>
          <w:kern w:val="0"/>
        </w:rPr>
      </w:pPr>
      <w:r>
        <w:rPr>
          <w:kern w:val="0"/>
        </w:rPr>
        <w:t>涉及卫生等有关部门行政许可规定的，申请人应当依法办理。</w:t>
      </w:r>
    </w:p>
    <w:p w14:paraId="34EBC811">
      <w:pPr>
        <w:snapToGrid w:val="0"/>
        <w:spacing w:line="570" w:lineRule="exact"/>
        <w:ind w:firstLine="622" w:firstLineChars="200"/>
      </w:pPr>
      <w:r>
        <w:rPr>
          <w:rFonts w:eastAsia="黑体"/>
        </w:rPr>
        <w:t>第九条</w:t>
      </w:r>
      <w:r>
        <w:t>（期满、补领、</w:t>
      </w:r>
      <w:r>
        <w:rPr>
          <w:kern w:val="0"/>
        </w:rPr>
        <w:t>变更、</w:t>
      </w:r>
      <w:r>
        <w:t>注销许可证）</w:t>
      </w:r>
    </w:p>
    <w:p w14:paraId="11367703">
      <w:pPr>
        <w:snapToGrid w:val="0"/>
        <w:spacing w:line="570" w:lineRule="exact"/>
        <w:ind w:firstLine="622" w:firstLineChars="200"/>
        <w:rPr>
          <w:kern w:val="0"/>
        </w:rPr>
      </w:pPr>
      <w:r>
        <w:rPr>
          <w:kern w:val="0"/>
        </w:rPr>
        <w:t>（一）游泳项目经营许可证有效期为</w:t>
      </w:r>
      <w:r>
        <w:t>5年</w:t>
      </w:r>
      <w:r>
        <w:rPr>
          <w:rFonts w:hint="eastAsia"/>
        </w:rPr>
        <w:t>。</w:t>
      </w:r>
      <w:r>
        <w:t>具有游泳场所委托、转包或承包的协议书、合同书等法律文书的，按协议书、合同书等法律文书内规定的经营期限为经营许可证有效期年限</w:t>
      </w:r>
      <w:r>
        <w:rPr>
          <w:rFonts w:hint="eastAsia"/>
        </w:rPr>
        <w:t>；</w:t>
      </w:r>
    </w:p>
    <w:p w14:paraId="2EB47615">
      <w:pPr>
        <w:snapToGrid w:val="0"/>
        <w:spacing w:line="570" w:lineRule="exact"/>
        <w:ind w:firstLine="622" w:firstLineChars="200"/>
        <w:rPr>
          <w:kern w:val="0"/>
        </w:rPr>
      </w:pPr>
      <w:r>
        <w:rPr>
          <w:kern w:val="0"/>
        </w:rPr>
        <w:t>（二）经营者应当在有效期满30日前，持工商营业执照和许可证复印件向原发证的区体育行政部门重新申请许可证。区体育行政部门对申请单位进行重新核查发证。逾期未申请的，原许可证自有效期满之日起自动失效；</w:t>
      </w:r>
    </w:p>
    <w:p w14:paraId="2F45D4EE">
      <w:pPr>
        <w:snapToGrid w:val="0"/>
        <w:spacing w:line="570" w:lineRule="exact"/>
        <w:ind w:firstLine="622" w:firstLineChars="200"/>
        <w:rPr>
          <w:kern w:val="0"/>
        </w:rPr>
      </w:pPr>
      <w:r>
        <w:rPr>
          <w:kern w:val="0"/>
        </w:rPr>
        <w:t>（三）许可证遗失或者损毁的，经营者应当向原发证的</w:t>
      </w:r>
      <w:r>
        <w:t>区体育行政部门</w:t>
      </w:r>
      <w:r>
        <w:rPr>
          <w:kern w:val="0"/>
        </w:rPr>
        <w:t>书面申请补领或者更换；</w:t>
      </w:r>
    </w:p>
    <w:p w14:paraId="17EA86B7">
      <w:pPr>
        <w:snapToGrid w:val="0"/>
        <w:spacing w:line="570" w:lineRule="exact"/>
        <w:ind w:firstLine="622" w:firstLineChars="200"/>
        <w:rPr>
          <w:kern w:val="0"/>
        </w:rPr>
      </w:pPr>
      <w:r>
        <w:rPr>
          <w:kern w:val="0"/>
        </w:rPr>
        <w:t>（四）</w:t>
      </w:r>
      <w:r>
        <w:rPr>
          <w:rFonts w:hint="eastAsia"/>
          <w:kern w:val="0"/>
        </w:rPr>
        <w:t>许可证载明事项发生变更的，经营者应当向作出行政许可决定的区体育行政部门申请办理变更手续。区体育行政部门同意的，为其换发许可证</w:t>
      </w:r>
      <w:r>
        <w:rPr>
          <w:kern w:val="0"/>
        </w:rPr>
        <w:t>；</w:t>
      </w:r>
    </w:p>
    <w:p w14:paraId="15AE465F">
      <w:pPr>
        <w:snapToGrid w:val="0"/>
        <w:spacing w:line="570" w:lineRule="exact"/>
        <w:ind w:firstLine="622" w:firstLineChars="200"/>
        <w:rPr>
          <w:kern w:val="0"/>
        </w:rPr>
      </w:pPr>
      <w:r>
        <w:rPr>
          <w:kern w:val="0"/>
        </w:rPr>
        <w:t>（五）经营终止或者许可证到期未申请换证的，原发证机关应当注销许可证。</w:t>
      </w:r>
    </w:p>
    <w:p w14:paraId="0DABF1F2">
      <w:pPr>
        <w:snapToGrid w:val="0"/>
        <w:spacing w:line="570" w:lineRule="exact"/>
        <w:ind w:firstLine="622" w:firstLineChars="200"/>
      </w:pPr>
      <w:r>
        <w:rPr>
          <w:rFonts w:eastAsia="黑体"/>
        </w:rPr>
        <w:t>第十条</w:t>
      </w:r>
      <w:r>
        <w:t>（告示制度）</w:t>
      </w:r>
    </w:p>
    <w:p w14:paraId="7457AC52">
      <w:pPr>
        <w:snapToGrid w:val="0"/>
        <w:spacing w:line="570" w:lineRule="exact"/>
        <w:ind w:firstLine="622" w:firstLineChars="200"/>
        <w:rPr>
          <w:kern w:val="0"/>
        </w:rPr>
      </w:pPr>
      <w:r>
        <w:t>区体育行政部门应当及时将许可、补领、</w:t>
      </w:r>
      <w:r>
        <w:rPr>
          <w:kern w:val="0"/>
        </w:rPr>
        <w:t>变更、</w:t>
      </w:r>
      <w:r>
        <w:t>注销、吊销信息及每年对经营者监督检查等情况向相关行政部门进行通报，并在10日内将相关信息在网站上公布。</w:t>
      </w:r>
    </w:p>
    <w:p w14:paraId="2D4A67FF">
      <w:pPr>
        <w:adjustRightInd w:val="0"/>
        <w:snapToGrid w:val="0"/>
        <w:spacing w:line="570" w:lineRule="exact"/>
        <w:ind w:firstLine="622" w:firstLineChars="200"/>
        <w:rPr>
          <w:rFonts w:eastAsia="黑体"/>
        </w:rPr>
      </w:pPr>
      <w:r>
        <w:rPr>
          <w:rFonts w:eastAsia="黑体"/>
        </w:rPr>
        <w:t>第十一条</w:t>
      </w:r>
      <w:r>
        <w:t>（管理规定）</w:t>
      </w:r>
    </w:p>
    <w:p w14:paraId="5480F311">
      <w:pPr>
        <w:adjustRightInd w:val="0"/>
        <w:snapToGrid w:val="0"/>
        <w:spacing w:line="570" w:lineRule="exact"/>
        <w:ind w:firstLine="622" w:firstLineChars="200"/>
      </w:pPr>
      <w:r>
        <w:rPr>
          <w:kern w:val="0"/>
        </w:rPr>
        <w:t>经营游泳项目，除遵守《办法》第三章规定外，还</w:t>
      </w:r>
      <w:r>
        <w:t>应当遵守下列规定：</w:t>
      </w:r>
    </w:p>
    <w:p w14:paraId="51FA73D0">
      <w:pPr>
        <w:adjustRightInd w:val="0"/>
        <w:snapToGrid w:val="0"/>
        <w:spacing w:line="570" w:lineRule="exact"/>
        <w:ind w:firstLine="622" w:firstLineChars="200"/>
      </w:pPr>
      <w:r>
        <w:t>（一）</w:t>
      </w:r>
      <w:r>
        <w:rPr>
          <w:kern w:val="0"/>
        </w:rPr>
        <w:t>禁止</w:t>
      </w:r>
      <w:r>
        <w:rPr>
          <w:shd w:val="clear" w:color="auto" w:fill="FFFFFF"/>
        </w:rPr>
        <w:t>涂改、倒卖、出租、出借许可证件，或者以其他形式非法转让行政许可的</w:t>
      </w:r>
      <w:r>
        <w:rPr>
          <w:kern w:val="0"/>
        </w:rPr>
        <w:t>行为；</w:t>
      </w:r>
    </w:p>
    <w:p w14:paraId="7A9D13DE">
      <w:pPr>
        <w:adjustRightInd w:val="0"/>
        <w:snapToGrid w:val="0"/>
        <w:spacing w:line="570" w:lineRule="exact"/>
        <w:ind w:firstLine="622" w:firstLineChars="200"/>
      </w:pPr>
      <w:r>
        <w:t>（二）经营者应当在场所入口处或场所醒目位置张贴经营许可证，公示、公布活动注意事项或须知、守则、服务指南等，以及服务开放时间表、经营服务收费项目和收费标准、投诉和举报电话号码等内容；</w:t>
      </w:r>
    </w:p>
    <w:p w14:paraId="74DCA383">
      <w:pPr>
        <w:widowControl/>
        <w:snapToGrid w:val="0"/>
        <w:spacing w:line="570" w:lineRule="exact"/>
        <w:ind w:firstLine="622" w:firstLineChars="200"/>
        <w:jc w:val="left"/>
      </w:pPr>
      <w:r>
        <w:t>（三）经营者应当督促泳客入场时出示当年有效的游泳健身卡；实行警示和告知承诺制，防止肝炎、心脏病、皮肤癣疹（包括脚癣）、重症砂眼、急性结膜炎、中耳炎、肠道传染病、精神病等患者和酗酒者进入游泳场所游泳；</w:t>
      </w:r>
    </w:p>
    <w:p w14:paraId="64845D94">
      <w:pPr>
        <w:widowControl/>
        <w:snapToGrid w:val="0"/>
        <w:spacing w:line="570" w:lineRule="exact"/>
        <w:ind w:firstLine="622" w:firstLineChars="200"/>
        <w:jc w:val="left"/>
        <w:rPr>
          <w:kern w:val="0"/>
        </w:rPr>
      </w:pPr>
      <w:r>
        <w:rPr>
          <w:kern w:val="0"/>
        </w:rPr>
        <w:t>（四）救生人员应着统一的、醒目的、便于识别的服装；</w:t>
      </w:r>
    </w:p>
    <w:p w14:paraId="50004615">
      <w:pPr>
        <w:widowControl/>
        <w:snapToGrid w:val="0"/>
        <w:spacing w:line="570" w:lineRule="exact"/>
        <w:ind w:firstLine="622" w:firstLineChars="200"/>
        <w:jc w:val="left"/>
        <w:rPr>
          <w:kern w:val="0"/>
        </w:rPr>
      </w:pPr>
      <w:r>
        <w:rPr>
          <w:kern w:val="0"/>
        </w:rPr>
        <w:t>（五）监控设施应当留存监控录像日志10日</w:t>
      </w:r>
      <w:r>
        <w:t>备查；发生意外事件后，应当及时主动提供监控录像，</w:t>
      </w:r>
      <w:r>
        <w:rPr>
          <w:rFonts w:hint="eastAsia"/>
        </w:rPr>
        <w:t>配合</w:t>
      </w:r>
      <w:r>
        <w:t>市社会体育管理中心和事发地区体育行政部门</w:t>
      </w:r>
      <w:r>
        <w:rPr>
          <w:rFonts w:hint="eastAsia"/>
        </w:rPr>
        <w:t>开展调查</w:t>
      </w:r>
      <w:r>
        <w:t>。</w:t>
      </w:r>
    </w:p>
    <w:p w14:paraId="2F70EA06">
      <w:pPr>
        <w:widowControl/>
        <w:snapToGrid w:val="0"/>
        <w:spacing w:line="570" w:lineRule="exact"/>
        <w:ind w:firstLine="622" w:firstLineChars="200"/>
        <w:jc w:val="left"/>
        <w:rPr>
          <w:kern w:val="0"/>
        </w:rPr>
      </w:pPr>
      <w:r>
        <w:rPr>
          <w:kern w:val="0"/>
        </w:rPr>
        <w:t>（六）每名</w:t>
      </w:r>
      <w:r>
        <w:t>社会体育指导员（游泳）</w:t>
      </w:r>
      <w:r>
        <w:rPr>
          <w:kern w:val="0"/>
        </w:rPr>
        <w:t>每次带教学员不宜超过12名；</w:t>
      </w:r>
    </w:p>
    <w:p w14:paraId="54ACBE37">
      <w:pPr>
        <w:snapToGrid w:val="0"/>
        <w:spacing w:line="570" w:lineRule="exact"/>
        <w:ind w:firstLine="622" w:firstLineChars="200"/>
        <w:rPr>
          <w:kern w:val="0"/>
        </w:rPr>
      </w:pPr>
      <w:r>
        <w:rPr>
          <w:kern w:val="0"/>
        </w:rPr>
        <w:t>（七）经营者应当建立应急救援通道和抢救机制；</w:t>
      </w:r>
    </w:p>
    <w:p w14:paraId="3E2B86D1">
      <w:pPr>
        <w:snapToGrid w:val="0"/>
        <w:spacing w:line="570" w:lineRule="exact"/>
        <w:ind w:firstLine="622" w:firstLineChars="200"/>
        <w:rPr>
          <w:kern w:val="0"/>
        </w:rPr>
      </w:pPr>
      <w:r>
        <w:rPr>
          <w:kern w:val="0"/>
        </w:rPr>
        <w:t>（八）</w:t>
      </w:r>
      <w:r>
        <w:t>发生溺水、</w:t>
      </w:r>
      <w:r>
        <w:rPr>
          <w:kern w:val="0"/>
        </w:rPr>
        <w:t>消毒剂泄漏和中毒</w:t>
      </w:r>
      <w:r>
        <w:t>等重大事故时，游泳场所应当及时采取抢救、救护措施，并立即向所在地的区体育行政部门和公安部门如实报告，不得迟报、瞒报、谎报或拖延不报，不得故意损坏、破坏事故现场及毁灭有关证据，区体育行政部门在收到游泳场所报告1小时内向市社会体育管理中心报告，并于48小时内作出书面报告</w:t>
      </w:r>
      <w:r>
        <w:rPr>
          <w:rFonts w:hint="eastAsia"/>
        </w:rPr>
        <w:t>；</w:t>
      </w:r>
    </w:p>
    <w:p w14:paraId="7A336376">
      <w:pPr>
        <w:snapToGrid w:val="0"/>
        <w:spacing w:line="570" w:lineRule="exact"/>
        <w:ind w:firstLine="622" w:firstLineChars="200"/>
        <w:rPr>
          <w:kern w:val="0"/>
        </w:rPr>
      </w:pPr>
      <w:r>
        <w:rPr>
          <w:kern w:val="0"/>
        </w:rPr>
        <w:t>（九）其他法律、法规有关规定。</w:t>
      </w:r>
    </w:p>
    <w:p w14:paraId="0971EE3F">
      <w:pPr>
        <w:snapToGrid w:val="0"/>
        <w:spacing w:line="570" w:lineRule="exact"/>
        <w:ind w:firstLine="609" w:firstLineChars="196"/>
      </w:pPr>
      <w:r>
        <w:rPr>
          <w:rFonts w:eastAsia="黑体"/>
        </w:rPr>
        <w:t>第十二条</w:t>
      </w:r>
      <w:r>
        <w:rPr>
          <w:bCs/>
        </w:rPr>
        <w:t>（</w:t>
      </w:r>
      <w:r>
        <w:rPr>
          <w:kern w:val="0"/>
        </w:rPr>
        <w:t>监督检查</w:t>
      </w:r>
      <w:r>
        <w:rPr>
          <w:bCs/>
        </w:rPr>
        <w:t>）</w:t>
      </w:r>
    </w:p>
    <w:p w14:paraId="542CF899">
      <w:pPr>
        <w:snapToGrid w:val="0"/>
        <w:spacing w:line="570" w:lineRule="exact"/>
        <w:ind w:firstLine="622" w:firstLineChars="200"/>
      </w:pPr>
      <w:r>
        <w:t>体育行政部门应当建立和健全监督检查制度、诚信制度，定期或不定期会同</w:t>
      </w:r>
      <w:r>
        <w:rPr>
          <w:kern w:val="0"/>
        </w:rPr>
        <w:t>工商、教育、公安、卫生、质量技监、旅游、安全监管、文化执法</w:t>
      </w:r>
      <w:r>
        <w:rPr>
          <w:bCs/>
        </w:rPr>
        <w:t>等</w:t>
      </w:r>
      <w:r>
        <w:t>相关部门，对</w:t>
      </w:r>
      <w:r>
        <w:rPr>
          <w:kern w:val="0"/>
        </w:rPr>
        <w:t>经营者实施</w:t>
      </w:r>
      <w:r>
        <w:t>有效监督，对发现的违法行为，依法实施行政处罚。</w:t>
      </w:r>
    </w:p>
    <w:p w14:paraId="51A5409D">
      <w:pPr>
        <w:adjustRightInd w:val="0"/>
        <w:snapToGrid w:val="0"/>
        <w:spacing w:line="570" w:lineRule="exact"/>
        <w:ind w:firstLine="622" w:firstLineChars="200"/>
      </w:pPr>
      <w:r>
        <w:rPr>
          <w:kern w:val="0"/>
        </w:rPr>
        <w:t>市</w:t>
      </w:r>
      <w:r>
        <w:t>社会体育管理中心和区体育行政部门应当加强</w:t>
      </w:r>
      <w:r>
        <w:rPr>
          <w:kern w:val="0"/>
        </w:rPr>
        <w:t>游泳场所</w:t>
      </w:r>
      <w:r>
        <w:t>日常管理和开展</w:t>
      </w:r>
      <w:r>
        <w:rPr>
          <w:kern w:val="0"/>
        </w:rPr>
        <w:t>夏季开放专项检查</w:t>
      </w:r>
      <w:r>
        <w:t>，发现</w:t>
      </w:r>
      <w:r>
        <w:rPr>
          <w:kern w:val="0"/>
        </w:rPr>
        <w:t>安全隐患的，应当</w:t>
      </w:r>
      <w:r>
        <w:t>发出书面通知书</w:t>
      </w:r>
      <w:r>
        <w:rPr>
          <w:kern w:val="0"/>
        </w:rPr>
        <w:t>责令经营者限期改正，并将监督检查情况和处理结果予以记录归档</w:t>
      </w:r>
      <w:r>
        <w:t>。</w:t>
      </w:r>
    </w:p>
    <w:p w14:paraId="03C972EA">
      <w:pPr>
        <w:adjustRightInd w:val="0"/>
        <w:snapToGrid w:val="0"/>
        <w:spacing w:line="570" w:lineRule="exact"/>
        <w:ind w:firstLine="622" w:firstLineChars="200"/>
      </w:pPr>
      <w:r>
        <w:t>本市各级游泳协会、游泳救生协会应当加强游泳项目行业规范管理，配合体育行政部门做好游泳项目监督检查工作。</w:t>
      </w:r>
    </w:p>
    <w:p w14:paraId="117847B4">
      <w:pPr>
        <w:adjustRightInd w:val="0"/>
        <w:snapToGrid w:val="0"/>
        <w:spacing w:line="570" w:lineRule="exact"/>
        <w:ind w:firstLine="622" w:firstLineChars="200"/>
        <w:rPr>
          <w:kern w:val="0"/>
        </w:rPr>
      </w:pPr>
      <w:r>
        <w:rPr>
          <w:kern w:val="0"/>
        </w:rPr>
        <w:t>每年6月公布专项</w:t>
      </w:r>
      <w:r>
        <w:t>检查</w:t>
      </w:r>
      <w:r>
        <w:rPr>
          <w:kern w:val="0"/>
        </w:rPr>
        <w:t>结果。</w:t>
      </w:r>
    </w:p>
    <w:p w14:paraId="3F7518FF">
      <w:pPr>
        <w:snapToGrid w:val="0"/>
        <w:spacing w:line="570" w:lineRule="exact"/>
        <w:ind w:firstLine="622" w:firstLineChars="200"/>
      </w:pPr>
      <w:r>
        <w:rPr>
          <w:rFonts w:eastAsia="黑体"/>
        </w:rPr>
        <w:t>第十三条</w:t>
      </w:r>
      <w:r>
        <w:t>（保险制度）</w:t>
      </w:r>
    </w:p>
    <w:p w14:paraId="5B4900B1">
      <w:pPr>
        <w:snapToGrid w:val="0"/>
        <w:spacing w:line="570" w:lineRule="exact"/>
        <w:ind w:firstLine="622" w:firstLineChars="200"/>
      </w:pPr>
      <w:r>
        <w:rPr>
          <w:kern w:val="0"/>
        </w:rPr>
        <w:t>鼓励经营者依法</w:t>
      </w:r>
      <w:r>
        <w:t>投保有关责任保险</w:t>
      </w:r>
      <w:r>
        <w:rPr>
          <w:kern w:val="0"/>
        </w:rPr>
        <w:t>。</w:t>
      </w:r>
    </w:p>
    <w:p w14:paraId="7084447D">
      <w:pPr>
        <w:adjustRightInd w:val="0"/>
        <w:snapToGrid w:val="0"/>
        <w:spacing w:line="570" w:lineRule="exact"/>
        <w:ind w:firstLine="622" w:firstLineChars="200"/>
      </w:pPr>
      <w:r>
        <w:rPr>
          <w:kern w:val="0"/>
        </w:rPr>
        <w:t>经营者应当</w:t>
      </w:r>
      <w:r>
        <w:t>鼓励和提醒</w:t>
      </w:r>
      <w:r>
        <w:rPr>
          <w:kern w:val="0"/>
        </w:rPr>
        <w:t>消费者依法投保个人</w:t>
      </w:r>
      <w:r>
        <w:t>意外伤害保险。</w:t>
      </w:r>
    </w:p>
    <w:p w14:paraId="59969982">
      <w:pPr>
        <w:tabs>
          <w:tab w:val="left" w:pos="1648"/>
          <w:tab w:val="left" w:pos="2127"/>
        </w:tabs>
        <w:topLinePunct/>
        <w:adjustRightInd w:val="0"/>
        <w:snapToGrid w:val="0"/>
        <w:spacing w:line="570" w:lineRule="exact"/>
        <w:ind w:firstLine="622" w:firstLineChars="200"/>
        <w:rPr>
          <w:kern w:val="0"/>
          <w:lang w:val="zh-CN"/>
        </w:rPr>
      </w:pPr>
      <w:r>
        <w:rPr>
          <w:rFonts w:eastAsia="黑体"/>
        </w:rPr>
        <w:t>第十四条</w:t>
      </w:r>
      <w:r>
        <w:rPr>
          <w:kern w:val="0"/>
          <w:lang w:val="zh-CN"/>
        </w:rPr>
        <w:t>（工作人员法律责任）</w:t>
      </w:r>
    </w:p>
    <w:p w14:paraId="1A836115">
      <w:pPr>
        <w:widowControl/>
        <w:adjustRightInd w:val="0"/>
        <w:snapToGrid w:val="0"/>
        <w:spacing w:line="570" w:lineRule="exact"/>
        <w:ind w:firstLine="622" w:firstLineChars="200"/>
        <w:jc w:val="left"/>
        <w:rPr>
          <w:kern w:val="0"/>
        </w:rPr>
      </w:pPr>
      <w:r>
        <w:rPr>
          <w:kern w:val="0"/>
        </w:rPr>
        <w:t>相关行政部门和业务管理部门的工作人员在实施行政许可过程中，有下列情形之一的，由其所在单位、上级主管部门</w:t>
      </w:r>
      <w:r>
        <w:t>或监察机关责令改正，并依法给予</w:t>
      </w:r>
      <w:r>
        <w:rPr>
          <w:kern w:val="0"/>
        </w:rPr>
        <w:t>行政</w:t>
      </w:r>
      <w:r>
        <w:t>处分；构成犯罪的，依法追究刑事责任。</w:t>
      </w:r>
    </w:p>
    <w:p w14:paraId="7A9D5BAB">
      <w:pPr>
        <w:widowControl/>
        <w:adjustRightInd w:val="0"/>
        <w:snapToGrid w:val="0"/>
        <w:spacing w:line="570" w:lineRule="exact"/>
        <w:ind w:firstLine="622" w:firstLineChars="200"/>
        <w:jc w:val="left"/>
        <w:rPr>
          <w:kern w:val="0"/>
        </w:rPr>
      </w:pPr>
      <w:r>
        <w:rPr>
          <w:kern w:val="0"/>
        </w:rPr>
        <w:t>（一）</w:t>
      </w:r>
      <w:r>
        <w:t>无正当理由，拒不受理游泳项目经营许可申请的；</w:t>
      </w:r>
    </w:p>
    <w:p w14:paraId="160DCB34">
      <w:pPr>
        <w:widowControl/>
        <w:adjustRightInd w:val="0"/>
        <w:snapToGrid w:val="0"/>
        <w:spacing w:line="570" w:lineRule="exact"/>
        <w:ind w:firstLine="622" w:firstLineChars="200"/>
        <w:jc w:val="left"/>
        <w:rPr>
          <w:kern w:val="0"/>
        </w:rPr>
      </w:pPr>
      <w:r>
        <w:rPr>
          <w:kern w:val="0"/>
        </w:rPr>
        <w:t>（二）</w:t>
      </w:r>
      <w:r>
        <w:t>违反规定程序，批准游泳项目行政许可的；</w:t>
      </w:r>
    </w:p>
    <w:p w14:paraId="651D0E98">
      <w:pPr>
        <w:widowControl/>
        <w:adjustRightInd w:val="0"/>
        <w:snapToGrid w:val="0"/>
        <w:spacing w:line="570" w:lineRule="exact"/>
        <w:ind w:firstLine="622" w:firstLineChars="200"/>
        <w:jc w:val="left"/>
        <w:rPr>
          <w:kern w:val="0"/>
        </w:rPr>
      </w:pPr>
      <w:r>
        <w:rPr>
          <w:kern w:val="0"/>
        </w:rPr>
        <w:t>（三）</w:t>
      </w:r>
      <w:r>
        <w:t>未依法履行</w:t>
      </w:r>
      <w:r>
        <w:rPr>
          <w:kern w:val="0"/>
        </w:rPr>
        <w:t>法律法规和本办法</w:t>
      </w:r>
      <w:r>
        <w:t>管理职责、</w:t>
      </w:r>
      <w:r>
        <w:rPr>
          <w:kern w:val="0"/>
        </w:rPr>
        <w:t>监督检查职责和严重失职的；</w:t>
      </w:r>
    </w:p>
    <w:p w14:paraId="32ADC0B7">
      <w:pPr>
        <w:widowControl/>
        <w:adjustRightInd w:val="0"/>
        <w:snapToGrid w:val="0"/>
        <w:spacing w:line="570" w:lineRule="exact"/>
        <w:ind w:firstLine="622" w:firstLineChars="200"/>
        <w:jc w:val="left"/>
        <w:rPr>
          <w:kern w:val="0"/>
        </w:rPr>
      </w:pPr>
      <w:r>
        <w:rPr>
          <w:kern w:val="0"/>
        </w:rPr>
        <w:t>（四）发现或受理举报违法行为不及时查处，或者有包庇、纵容违法行为，造成后果的；</w:t>
      </w:r>
    </w:p>
    <w:p w14:paraId="6BFC8493">
      <w:pPr>
        <w:widowControl/>
        <w:adjustRightInd w:val="0"/>
        <w:snapToGrid w:val="0"/>
        <w:spacing w:line="570" w:lineRule="exact"/>
        <w:ind w:firstLine="622" w:firstLineChars="200"/>
        <w:jc w:val="left"/>
        <w:rPr>
          <w:kern w:val="0"/>
        </w:rPr>
      </w:pPr>
      <w:r>
        <w:rPr>
          <w:kern w:val="0"/>
        </w:rPr>
        <w:t>（五）违法实施行政处罚的；</w:t>
      </w:r>
    </w:p>
    <w:p w14:paraId="2DB9C0DC">
      <w:pPr>
        <w:snapToGrid w:val="0"/>
        <w:spacing w:line="570" w:lineRule="exact"/>
        <w:ind w:firstLine="622" w:firstLineChars="200"/>
      </w:pPr>
      <w:r>
        <w:rPr>
          <w:kern w:val="0"/>
        </w:rPr>
        <w:t>（六）</w:t>
      </w:r>
      <w:r>
        <w:t>有</w:t>
      </w:r>
      <w:r>
        <w:rPr>
          <w:kern w:val="0"/>
        </w:rPr>
        <w:t>其他玩忽职守、滥用职权、徇私舞弊行为的</w:t>
      </w:r>
      <w:r>
        <w:rPr>
          <w:kern w:val="0"/>
          <w:lang w:val="zh-CN"/>
        </w:rPr>
        <w:t>。</w:t>
      </w:r>
    </w:p>
    <w:p w14:paraId="21F2CB5A">
      <w:pPr>
        <w:snapToGrid w:val="0"/>
        <w:spacing w:line="570" w:lineRule="exact"/>
        <w:ind w:firstLine="622" w:firstLineChars="200"/>
      </w:pPr>
      <w:r>
        <w:rPr>
          <w:rFonts w:eastAsia="黑体"/>
        </w:rPr>
        <w:t>第十五条</w:t>
      </w:r>
      <w:r>
        <w:t>（无证经营游泳项目的处理）</w:t>
      </w:r>
    </w:p>
    <w:p w14:paraId="7C6BCFED">
      <w:pPr>
        <w:snapToGrid w:val="0"/>
        <w:spacing w:line="570" w:lineRule="exact"/>
        <w:ind w:firstLine="622" w:firstLineChars="200"/>
        <w:rPr>
          <w:strike/>
        </w:rPr>
      </w:pPr>
      <w:r>
        <w:t>未取得体育行政部门许可，无证经营游泳项目的，</w:t>
      </w:r>
      <w:r>
        <w:rPr>
          <w:bCs/>
        </w:rPr>
        <w:t>根据《全民健身条例》第三十六条和《办法》第二十</w:t>
      </w:r>
      <w:r>
        <w:rPr>
          <w:rFonts w:hint="eastAsia"/>
          <w:bCs/>
        </w:rPr>
        <w:t>六</w:t>
      </w:r>
      <w:r>
        <w:rPr>
          <w:bCs/>
        </w:rPr>
        <w:t>条规定，</w:t>
      </w:r>
      <w:r>
        <w:t>由区</w:t>
      </w:r>
      <w:r>
        <w:rPr>
          <w:kern w:val="0"/>
        </w:rPr>
        <w:t>体育行政部门和</w:t>
      </w:r>
      <w:r>
        <w:t>文化市场行政</w:t>
      </w:r>
      <w:r>
        <w:rPr>
          <w:bCs/>
        </w:rPr>
        <w:t>执法机构</w:t>
      </w:r>
      <w:bookmarkStart w:id="4" w:name="OLE_LINK8"/>
      <w:bookmarkStart w:id="5" w:name="OLE_LINK9"/>
      <w:r>
        <w:rPr>
          <w:bCs/>
        </w:rPr>
        <w:t>按照</w:t>
      </w:r>
      <w:r>
        <w:t>管理权限责令改正，并由文化市场行政</w:t>
      </w:r>
      <w:r>
        <w:rPr>
          <w:bCs/>
        </w:rPr>
        <w:t>执法机构实施行政处罚</w:t>
      </w:r>
      <w:r>
        <w:t>，有违法所得的，没收违法所得；违法所得不足3万元或者没有违法所得的，并处3万元以上10万元以下的罚款；违法所得3万元以上的，并处违法所得2倍以上5倍以下的罚款。</w:t>
      </w:r>
      <w:bookmarkEnd w:id="4"/>
      <w:bookmarkEnd w:id="5"/>
    </w:p>
    <w:p w14:paraId="7BEED212">
      <w:pPr>
        <w:tabs>
          <w:tab w:val="left" w:pos="1648"/>
          <w:tab w:val="left" w:pos="2127"/>
        </w:tabs>
        <w:topLinePunct/>
        <w:adjustRightInd w:val="0"/>
        <w:snapToGrid w:val="0"/>
        <w:spacing w:line="570" w:lineRule="exact"/>
        <w:ind w:firstLine="622" w:firstLineChars="200"/>
      </w:pPr>
      <w:r>
        <w:rPr>
          <w:rFonts w:eastAsia="黑体"/>
        </w:rPr>
        <w:t>第十六条</w:t>
      </w:r>
      <w:r>
        <w:t>（经营者持证后不符合条件的处理）</w:t>
      </w:r>
    </w:p>
    <w:p w14:paraId="3C62AAC1">
      <w:pPr>
        <w:tabs>
          <w:tab w:val="left" w:pos="1648"/>
          <w:tab w:val="left" w:pos="2127"/>
        </w:tabs>
        <w:topLinePunct/>
        <w:adjustRightInd w:val="0"/>
        <w:snapToGrid w:val="0"/>
        <w:spacing w:line="570" w:lineRule="exact"/>
        <w:ind w:firstLine="622" w:firstLineChars="200"/>
        <w:rPr>
          <w:kern w:val="0"/>
        </w:rPr>
      </w:pPr>
      <w:r>
        <w:rPr>
          <w:kern w:val="0"/>
        </w:rPr>
        <w:t>经营者取得许可证后，不再符合</w:t>
      </w:r>
      <w:r>
        <w:rPr>
          <w:bCs/>
        </w:rPr>
        <w:t>《全民健身条例》、《办法》有关</w:t>
      </w:r>
      <w:r>
        <w:rPr>
          <w:kern w:val="0"/>
        </w:rPr>
        <w:t>规定条件仍经营的，根据</w:t>
      </w:r>
      <w:r>
        <w:rPr>
          <w:bCs/>
        </w:rPr>
        <w:t>《全民健身条例》第三十七条和《办法》第二十七条规定，</w:t>
      </w:r>
      <w:r>
        <w:rPr>
          <w:kern w:val="0"/>
        </w:rPr>
        <w:t>由</w:t>
      </w:r>
      <w:r>
        <w:t>市或</w:t>
      </w:r>
      <w:r>
        <w:rPr>
          <w:kern w:val="0"/>
        </w:rPr>
        <w:t>区体育行政部门和</w:t>
      </w:r>
      <w:r>
        <w:t>文化市场行政</w:t>
      </w:r>
      <w:r>
        <w:rPr>
          <w:bCs/>
        </w:rPr>
        <w:t>执法机构</w:t>
      </w:r>
      <w:r>
        <w:rPr>
          <w:kern w:val="0"/>
        </w:rPr>
        <w:t>按照</w:t>
      </w:r>
      <w:r>
        <w:t>管理权限责令限期改正，并由文化市场行政</w:t>
      </w:r>
      <w:r>
        <w:rPr>
          <w:bCs/>
        </w:rPr>
        <w:t>执法机构实施行政处罚</w:t>
      </w:r>
      <w:r>
        <w:t>，有违法所得的，没收违法所得；违法所得不足3万元或者没有违法所得的，并处3万元以上10万元以下的罚款；违法所得3万元以上的，并处违法所得2倍以上5倍以下的罚款；拒不改正的，由文化市场行政执法机构吊销许可证。</w:t>
      </w:r>
    </w:p>
    <w:p w14:paraId="26800CCC">
      <w:pPr>
        <w:snapToGrid w:val="0"/>
        <w:spacing w:line="570" w:lineRule="exact"/>
        <w:ind w:firstLine="622" w:firstLineChars="200"/>
        <w:rPr>
          <w:bCs/>
          <w:kern w:val="0"/>
        </w:rPr>
      </w:pPr>
      <w:r>
        <w:rPr>
          <w:rFonts w:eastAsia="黑体"/>
        </w:rPr>
        <w:t>第十七条</w:t>
      </w:r>
      <w:r>
        <w:rPr>
          <w:bCs/>
          <w:kern w:val="0"/>
        </w:rPr>
        <w:t>（违反安全管理的处理）</w:t>
      </w:r>
    </w:p>
    <w:p w14:paraId="6EF08CF6">
      <w:pPr>
        <w:snapToGrid w:val="0"/>
        <w:spacing w:line="570" w:lineRule="exact"/>
        <w:ind w:firstLine="622" w:firstLineChars="200"/>
        <w:rPr>
          <w:rFonts w:hint="eastAsia"/>
          <w:kern w:val="0"/>
        </w:rPr>
      </w:pPr>
      <w:r>
        <w:t>经营者未按规定在醒目位置张贴告示告知、采取警示措施、维护设施设备完好、配备救生员和教练员等违反安全管理规定的，</w:t>
      </w:r>
      <w:r>
        <w:rPr>
          <w:kern w:val="0"/>
        </w:rPr>
        <w:t>根据</w:t>
      </w:r>
      <w:r>
        <w:rPr>
          <w:bCs/>
        </w:rPr>
        <w:t>《办法》第二十八条规定，由</w:t>
      </w:r>
      <w:r>
        <w:rPr>
          <w:kern w:val="0"/>
        </w:rPr>
        <w:t>体育行政部门和</w:t>
      </w:r>
      <w:r>
        <w:t>文化市场行政执法机构</w:t>
      </w:r>
      <w:r>
        <w:rPr>
          <w:bCs/>
        </w:rPr>
        <w:t>按照管理权限</w:t>
      </w:r>
      <w:r>
        <w:t>责令限期改正，逾期未改正的，由文化市场行政执法机构</w:t>
      </w:r>
      <w:r>
        <w:rPr>
          <w:bCs/>
        </w:rPr>
        <w:t>实施行政处罚，</w:t>
      </w:r>
      <w:r>
        <w:t>处2万元以下的罚款。</w:t>
      </w:r>
    </w:p>
    <w:p w14:paraId="5A32A970">
      <w:pPr>
        <w:tabs>
          <w:tab w:val="left" w:pos="2127"/>
        </w:tabs>
        <w:topLinePunct/>
        <w:adjustRightInd w:val="0"/>
        <w:snapToGrid w:val="0"/>
        <w:spacing w:line="570" w:lineRule="exact"/>
        <w:ind w:firstLine="622" w:firstLineChars="200"/>
        <w:rPr>
          <w:kern w:val="0"/>
          <w:lang w:val="zh-CN"/>
        </w:rPr>
      </w:pPr>
      <w:r>
        <w:rPr>
          <w:rFonts w:eastAsia="黑体"/>
        </w:rPr>
        <w:t>第十八条</w:t>
      </w:r>
      <w:r>
        <w:rPr>
          <w:kern w:val="0"/>
        </w:rPr>
        <w:t>（妨碍公务的处理）</w:t>
      </w:r>
    </w:p>
    <w:p w14:paraId="5294EB22">
      <w:pPr>
        <w:snapToGrid w:val="0"/>
        <w:spacing w:line="570" w:lineRule="exact"/>
        <w:ind w:firstLine="622" w:firstLineChars="200"/>
        <w:rPr>
          <w:kern w:val="0"/>
        </w:rPr>
      </w:pPr>
      <w:r>
        <w:rPr>
          <w:kern w:val="0"/>
        </w:rPr>
        <w:t>拒绝、阻挠执法人员依法执行公务，根据</w:t>
      </w:r>
      <w:r>
        <w:rPr>
          <w:bCs/>
        </w:rPr>
        <w:t>《办法》第二十九条规定，</w:t>
      </w:r>
      <w:r>
        <w:t>由市或区</w:t>
      </w:r>
      <w:r>
        <w:rPr>
          <w:kern w:val="0"/>
        </w:rPr>
        <w:t>体育行政部门和</w:t>
      </w:r>
      <w:r>
        <w:t>文化市场行政执法机构</w:t>
      </w:r>
      <w:r>
        <w:rPr>
          <w:bCs/>
        </w:rPr>
        <w:t>按照管理权限</w:t>
      </w:r>
      <w:r>
        <w:t>责令改正，并由文化市场行政执法机构处3万元以下的罚款。</w:t>
      </w:r>
      <w:r>
        <w:rPr>
          <w:kern w:val="0"/>
        </w:rPr>
        <w:t>构成犯罪的，由司法机关依法追究刑事责任。</w:t>
      </w:r>
    </w:p>
    <w:p w14:paraId="189CE9F3">
      <w:pPr>
        <w:snapToGrid w:val="0"/>
        <w:spacing w:line="570" w:lineRule="exact"/>
        <w:ind w:firstLine="622" w:firstLineChars="200"/>
        <w:rPr>
          <w:kern w:val="0"/>
        </w:rPr>
      </w:pPr>
      <w:r>
        <w:rPr>
          <w:rFonts w:eastAsia="黑体"/>
        </w:rPr>
        <w:t>第十九条</w:t>
      </w:r>
      <w:r>
        <w:rPr>
          <w:kern w:val="0"/>
        </w:rPr>
        <w:t>（应用解释部门）</w:t>
      </w:r>
    </w:p>
    <w:p w14:paraId="747E062C">
      <w:pPr>
        <w:snapToGrid w:val="0"/>
        <w:spacing w:line="570" w:lineRule="exact"/>
        <w:ind w:firstLine="622" w:firstLineChars="200"/>
        <w:rPr>
          <w:kern w:val="0"/>
        </w:rPr>
      </w:pPr>
      <w:r>
        <w:rPr>
          <w:kern w:val="0"/>
        </w:rPr>
        <w:t>本办法的具体应用问题，由市体育行政部门负责解释。</w:t>
      </w:r>
    </w:p>
    <w:p w14:paraId="7D7E9E6B">
      <w:pPr>
        <w:snapToGrid w:val="0"/>
        <w:spacing w:line="570" w:lineRule="exact"/>
        <w:ind w:firstLine="622" w:firstLineChars="200"/>
      </w:pPr>
      <w:r>
        <w:rPr>
          <w:rFonts w:eastAsia="黑体"/>
          <w:bCs/>
          <w:kern w:val="0"/>
        </w:rPr>
        <w:t>第二十条</w:t>
      </w:r>
      <w:r>
        <w:rPr>
          <w:kern w:val="0"/>
        </w:rPr>
        <w:t>（施行日期）</w:t>
      </w:r>
    </w:p>
    <w:p w14:paraId="2B907862">
      <w:pPr>
        <w:tabs>
          <w:tab w:val="left" w:pos="2127"/>
        </w:tabs>
        <w:topLinePunct/>
        <w:adjustRightInd w:val="0"/>
        <w:snapToGrid w:val="0"/>
        <w:spacing w:line="570" w:lineRule="exact"/>
        <w:ind w:firstLine="622" w:firstLineChars="200"/>
      </w:pPr>
      <w:r>
        <w:t>本办法自2018年6月1日起施行，有效期至2023年5月31日。原《上海市高危险性体育项目（游泳）经营许可实施办法》（沪体法〔2013〕326号同时废止）。</w:t>
      </w:r>
    </w:p>
    <w:p w14:paraId="5492500C">
      <w:pPr>
        <w:rPr>
          <w:color w:val="000000"/>
        </w:rPr>
      </w:pPr>
    </w:p>
    <w:p w14:paraId="71FDD6AA">
      <w:pPr>
        <w:spacing w:line="550" w:lineRule="exact"/>
        <w:rPr>
          <w:rFonts w:hint="eastAsia"/>
          <w:szCs w:val="32"/>
        </w:rPr>
      </w:pPr>
    </w:p>
    <w:p w14:paraId="669E4C2E">
      <w:pPr>
        <w:spacing w:line="550" w:lineRule="exact"/>
        <w:rPr>
          <w:rFonts w:hint="eastAsia"/>
          <w:szCs w:val="32"/>
        </w:rPr>
      </w:pPr>
    </w:p>
    <w:p w14:paraId="1323B500">
      <w:pPr>
        <w:spacing w:line="550" w:lineRule="exact"/>
        <w:rPr>
          <w:rFonts w:hint="eastAsia"/>
          <w:szCs w:val="32"/>
        </w:rPr>
      </w:pPr>
    </w:p>
    <w:p w14:paraId="319C2004">
      <w:pPr>
        <w:spacing w:line="550" w:lineRule="exact"/>
        <w:rPr>
          <w:rFonts w:hint="eastAsia"/>
          <w:szCs w:val="32"/>
        </w:rPr>
      </w:pPr>
    </w:p>
    <w:p w14:paraId="4A760BAB">
      <w:pPr>
        <w:spacing w:line="550" w:lineRule="exact"/>
        <w:rPr>
          <w:rFonts w:hint="eastAsia"/>
          <w:szCs w:val="32"/>
        </w:rPr>
      </w:pPr>
      <w:bookmarkStart w:id="6" w:name="_GoBack"/>
      <w:bookmarkEnd w:id="6"/>
    </w:p>
    <w:sectPr>
      <w:headerReference r:id="rId3" w:type="default"/>
      <w:footerReference r:id="rId4" w:type="default"/>
      <w:footerReference r:id="rId5" w:type="even"/>
      <w:pgSz w:w="11907" w:h="16840"/>
      <w:pgMar w:top="2155" w:right="1588" w:bottom="1985" w:left="1588" w:header="851" w:footer="992" w:gutter="0"/>
      <w:cols w:space="425" w:num="1"/>
      <w:docGrid w:type="linesAndChars" w:linePitch="552" w:charSpace="242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Verdana,ˎ̥">
    <w:altName w:val="Times New Roman"/>
    <w:panose1 w:val="00000000000000000000"/>
    <w:charset w:val="00"/>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11D44C">
    <w:pPr>
      <w:pStyle w:val="7"/>
      <w:framePr w:wrap="around" w:vAnchor="text" w:hAnchor="margin" w:xAlign="outside" w:y="1"/>
      <w:rPr>
        <w:rStyle w:val="13"/>
        <w:rFonts w:hint="eastAsia"/>
        <w:sz w:val="24"/>
        <w:szCs w:val="24"/>
      </w:rPr>
    </w:pPr>
    <w:r>
      <w:rPr>
        <w:rStyle w:val="13"/>
        <w:rFonts w:hint="eastAsia"/>
        <w:sz w:val="24"/>
        <w:szCs w:val="24"/>
      </w:rPr>
      <w:t xml:space="preserve">— </w:t>
    </w:r>
    <w:r>
      <w:rPr>
        <w:rStyle w:val="13"/>
        <w:sz w:val="24"/>
        <w:szCs w:val="24"/>
      </w:rPr>
      <w:fldChar w:fldCharType="begin"/>
    </w:r>
    <w:r>
      <w:rPr>
        <w:rStyle w:val="13"/>
        <w:sz w:val="24"/>
        <w:szCs w:val="24"/>
      </w:rPr>
      <w:instrText xml:space="preserve">PAGE  </w:instrText>
    </w:r>
    <w:r>
      <w:rPr>
        <w:rStyle w:val="13"/>
        <w:sz w:val="24"/>
        <w:szCs w:val="24"/>
      </w:rPr>
      <w:fldChar w:fldCharType="separate"/>
    </w:r>
    <w:r>
      <w:rPr>
        <w:rStyle w:val="13"/>
        <w:sz w:val="24"/>
        <w:szCs w:val="24"/>
        <w:lang/>
      </w:rPr>
      <w:t>11</w:t>
    </w:r>
    <w:r>
      <w:rPr>
        <w:rStyle w:val="13"/>
        <w:sz w:val="24"/>
        <w:szCs w:val="24"/>
      </w:rPr>
      <w:fldChar w:fldCharType="end"/>
    </w:r>
    <w:r>
      <w:rPr>
        <w:rStyle w:val="13"/>
        <w:rFonts w:hint="eastAsia"/>
        <w:sz w:val="24"/>
        <w:szCs w:val="24"/>
      </w:rPr>
      <w:t xml:space="preserve"> —</w:t>
    </w:r>
  </w:p>
  <w:p w14:paraId="321CE710">
    <w:pPr>
      <w:pStyle w:val="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D8A593">
    <w:pPr>
      <w:pStyle w:val="7"/>
      <w:framePr w:wrap="around" w:vAnchor="text" w:hAnchor="margin" w:xAlign="outside" w:y="1"/>
      <w:rPr>
        <w:rStyle w:val="13"/>
        <w:rFonts w:hint="eastAsia"/>
        <w:sz w:val="24"/>
        <w:szCs w:val="24"/>
      </w:rPr>
    </w:pPr>
    <w:r>
      <w:rPr>
        <w:rStyle w:val="13"/>
        <w:rFonts w:hint="eastAsia"/>
        <w:sz w:val="24"/>
        <w:szCs w:val="24"/>
      </w:rPr>
      <w:t xml:space="preserve">— </w:t>
    </w:r>
    <w:r>
      <w:rPr>
        <w:rStyle w:val="13"/>
        <w:sz w:val="24"/>
        <w:szCs w:val="24"/>
      </w:rPr>
      <w:fldChar w:fldCharType="begin"/>
    </w:r>
    <w:r>
      <w:rPr>
        <w:rStyle w:val="13"/>
        <w:sz w:val="24"/>
        <w:szCs w:val="24"/>
      </w:rPr>
      <w:instrText xml:space="preserve">PAGE  </w:instrText>
    </w:r>
    <w:r>
      <w:rPr>
        <w:rStyle w:val="13"/>
        <w:sz w:val="24"/>
        <w:szCs w:val="24"/>
      </w:rPr>
      <w:fldChar w:fldCharType="separate"/>
    </w:r>
    <w:r>
      <w:rPr>
        <w:rStyle w:val="13"/>
        <w:sz w:val="24"/>
        <w:szCs w:val="24"/>
        <w:lang/>
      </w:rPr>
      <w:t>12</w:t>
    </w:r>
    <w:r>
      <w:rPr>
        <w:rStyle w:val="13"/>
        <w:sz w:val="24"/>
        <w:szCs w:val="24"/>
      </w:rPr>
      <w:fldChar w:fldCharType="end"/>
    </w:r>
    <w:r>
      <w:rPr>
        <w:rStyle w:val="13"/>
        <w:rFonts w:hint="eastAsia"/>
        <w:sz w:val="24"/>
        <w:szCs w:val="24"/>
      </w:rPr>
      <w:t xml:space="preserve"> —</w:t>
    </w:r>
  </w:p>
  <w:p w14:paraId="63D5CE23">
    <w:pPr>
      <w:pStyle w:val="7"/>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618B67">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5"/>
  <w:hyphenationZone w:val="360"/>
  <w:evenAndOddHeaders w:val="1"/>
  <w:drawingGridHorizontalSpacing w:val="156"/>
  <w:drawingGridVerticalSpacing w:val="27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A88"/>
    <w:rsid w:val="000126C0"/>
    <w:rsid w:val="00013A97"/>
    <w:rsid w:val="00017AB2"/>
    <w:rsid w:val="00023A5E"/>
    <w:rsid w:val="000379AE"/>
    <w:rsid w:val="00050EB5"/>
    <w:rsid w:val="00052BE5"/>
    <w:rsid w:val="000728EA"/>
    <w:rsid w:val="00080674"/>
    <w:rsid w:val="00083940"/>
    <w:rsid w:val="000874C0"/>
    <w:rsid w:val="000A3ADB"/>
    <w:rsid w:val="000A7E43"/>
    <w:rsid w:val="000C0130"/>
    <w:rsid w:val="000D18AB"/>
    <w:rsid w:val="000D2948"/>
    <w:rsid w:val="000E6A91"/>
    <w:rsid w:val="000F28B1"/>
    <w:rsid w:val="00102A7B"/>
    <w:rsid w:val="00123D1F"/>
    <w:rsid w:val="001248B4"/>
    <w:rsid w:val="00127706"/>
    <w:rsid w:val="00143F61"/>
    <w:rsid w:val="00154B6B"/>
    <w:rsid w:val="001644BB"/>
    <w:rsid w:val="001736A3"/>
    <w:rsid w:val="00191E0B"/>
    <w:rsid w:val="00197408"/>
    <w:rsid w:val="001A203D"/>
    <w:rsid w:val="001A46D6"/>
    <w:rsid w:val="001A5805"/>
    <w:rsid w:val="001A6DC6"/>
    <w:rsid w:val="001B6F54"/>
    <w:rsid w:val="001D231F"/>
    <w:rsid w:val="001E4372"/>
    <w:rsid w:val="002169F2"/>
    <w:rsid w:val="00226628"/>
    <w:rsid w:val="00226B7A"/>
    <w:rsid w:val="00230F6E"/>
    <w:rsid w:val="00232419"/>
    <w:rsid w:val="00252218"/>
    <w:rsid w:val="00253344"/>
    <w:rsid w:val="002750C3"/>
    <w:rsid w:val="0027727E"/>
    <w:rsid w:val="002805D5"/>
    <w:rsid w:val="002873F5"/>
    <w:rsid w:val="00290D40"/>
    <w:rsid w:val="00295838"/>
    <w:rsid w:val="00297D05"/>
    <w:rsid w:val="002A0AF6"/>
    <w:rsid w:val="002A1366"/>
    <w:rsid w:val="002A3E30"/>
    <w:rsid w:val="002C01DC"/>
    <w:rsid w:val="002C10E0"/>
    <w:rsid w:val="002C15E1"/>
    <w:rsid w:val="002D18A0"/>
    <w:rsid w:val="002D4EB0"/>
    <w:rsid w:val="002E0109"/>
    <w:rsid w:val="002E5262"/>
    <w:rsid w:val="002F012F"/>
    <w:rsid w:val="002F6923"/>
    <w:rsid w:val="003063F7"/>
    <w:rsid w:val="00317370"/>
    <w:rsid w:val="00321E6E"/>
    <w:rsid w:val="00332B1B"/>
    <w:rsid w:val="0033630E"/>
    <w:rsid w:val="003406F9"/>
    <w:rsid w:val="00347004"/>
    <w:rsid w:val="00347590"/>
    <w:rsid w:val="003522EF"/>
    <w:rsid w:val="00353EB4"/>
    <w:rsid w:val="00356FCD"/>
    <w:rsid w:val="0037328A"/>
    <w:rsid w:val="003811E2"/>
    <w:rsid w:val="003830A1"/>
    <w:rsid w:val="003D02AE"/>
    <w:rsid w:val="003D1B22"/>
    <w:rsid w:val="003D4D89"/>
    <w:rsid w:val="003E023A"/>
    <w:rsid w:val="003F0B87"/>
    <w:rsid w:val="003F3A5D"/>
    <w:rsid w:val="003F3C06"/>
    <w:rsid w:val="003F4EEA"/>
    <w:rsid w:val="003F6EF5"/>
    <w:rsid w:val="004010FC"/>
    <w:rsid w:val="0041140F"/>
    <w:rsid w:val="004123F0"/>
    <w:rsid w:val="00413E56"/>
    <w:rsid w:val="00415EB1"/>
    <w:rsid w:val="00431DF0"/>
    <w:rsid w:val="004455FC"/>
    <w:rsid w:val="00451E16"/>
    <w:rsid w:val="00453219"/>
    <w:rsid w:val="00473F39"/>
    <w:rsid w:val="00476EAC"/>
    <w:rsid w:val="004808DA"/>
    <w:rsid w:val="00481CD0"/>
    <w:rsid w:val="0048228D"/>
    <w:rsid w:val="00482FF8"/>
    <w:rsid w:val="004A25F6"/>
    <w:rsid w:val="004A7A94"/>
    <w:rsid w:val="004C3DAB"/>
    <w:rsid w:val="004C4B0D"/>
    <w:rsid w:val="004D2AF6"/>
    <w:rsid w:val="004E1BF3"/>
    <w:rsid w:val="004E2DF5"/>
    <w:rsid w:val="004E3A21"/>
    <w:rsid w:val="004F557E"/>
    <w:rsid w:val="00500A4E"/>
    <w:rsid w:val="00507CB5"/>
    <w:rsid w:val="0051360A"/>
    <w:rsid w:val="005550D4"/>
    <w:rsid w:val="00560E7D"/>
    <w:rsid w:val="00564AED"/>
    <w:rsid w:val="00577F48"/>
    <w:rsid w:val="00582415"/>
    <w:rsid w:val="00583D18"/>
    <w:rsid w:val="00592241"/>
    <w:rsid w:val="0059742A"/>
    <w:rsid w:val="005A04AF"/>
    <w:rsid w:val="005A7DB8"/>
    <w:rsid w:val="005B308F"/>
    <w:rsid w:val="005B41BF"/>
    <w:rsid w:val="005C49BD"/>
    <w:rsid w:val="005E142F"/>
    <w:rsid w:val="005E477F"/>
    <w:rsid w:val="005E5A33"/>
    <w:rsid w:val="00601439"/>
    <w:rsid w:val="00607F6C"/>
    <w:rsid w:val="00613685"/>
    <w:rsid w:val="00623CD5"/>
    <w:rsid w:val="00632EC9"/>
    <w:rsid w:val="00664BD6"/>
    <w:rsid w:val="00665E80"/>
    <w:rsid w:val="006660E9"/>
    <w:rsid w:val="00674C4B"/>
    <w:rsid w:val="006765D0"/>
    <w:rsid w:val="006823AE"/>
    <w:rsid w:val="0068546B"/>
    <w:rsid w:val="00693847"/>
    <w:rsid w:val="0069624C"/>
    <w:rsid w:val="006B11B9"/>
    <w:rsid w:val="006B554E"/>
    <w:rsid w:val="006B78D8"/>
    <w:rsid w:val="006C688C"/>
    <w:rsid w:val="006D1FB1"/>
    <w:rsid w:val="006D6307"/>
    <w:rsid w:val="006E4F9E"/>
    <w:rsid w:val="006F5D4C"/>
    <w:rsid w:val="00703C09"/>
    <w:rsid w:val="0071188C"/>
    <w:rsid w:val="0072060B"/>
    <w:rsid w:val="00720BF8"/>
    <w:rsid w:val="007242D8"/>
    <w:rsid w:val="0074641F"/>
    <w:rsid w:val="00771758"/>
    <w:rsid w:val="00776A88"/>
    <w:rsid w:val="007866F0"/>
    <w:rsid w:val="00786841"/>
    <w:rsid w:val="00795CBD"/>
    <w:rsid w:val="00797D88"/>
    <w:rsid w:val="007A65A7"/>
    <w:rsid w:val="007B286C"/>
    <w:rsid w:val="007C3F6C"/>
    <w:rsid w:val="007C6F30"/>
    <w:rsid w:val="007F1D3C"/>
    <w:rsid w:val="00801B93"/>
    <w:rsid w:val="008168CB"/>
    <w:rsid w:val="00823556"/>
    <w:rsid w:val="00830552"/>
    <w:rsid w:val="0083089D"/>
    <w:rsid w:val="00834118"/>
    <w:rsid w:val="0083631B"/>
    <w:rsid w:val="00836614"/>
    <w:rsid w:val="00844C20"/>
    <w:rsid w:val="00866A2A"/>
    <w:rsid w:val="00866AAF"/>
    <w:rsid w:val="00866BB7"/>
    <w:rsid w:val="008A122E"/>
    <w:rsid w:val="008B1184"/>
    <w:rsid w:val="008B2743"/>
    <w:rsid w:val="008B5790"/>
    <w:rsid w:val="008E6CB9"/>
    <w:rsid w:val="008F7644"/>
    <w:rsid w:val="009059B8"/>
    <w:rsid w:val="009268DF"/>
    <w:rsid w:val="0093214D"/>
    <w:rsid w:val="00932809"/>
    <w:rsid w:val="009404DA"/>
    <w:rsid w:val="009458F7"/>
    <w:rsid w:val="00946035"/>
    <w:rsid w:val="00984515"/>
    <w:rsid w:val="00991C0C"/>
    <w:rsid w:val="009948B8"/>
    <w:rsid w:val="009950E4"/>
    <w:rsid w:val="00996A71"/>
    <w:rsid w:val="009A5788"/>
    <w:rsid w:val="009B2064"/>
    <w:rsid w:val="009C2D9C"/>
    <w:rsid w:val="009E11C0"/>
    <w:rsid w:val="009F0C9F"/>
    <w:rsid w:val="009F256E"/>
    <w:rsid w:val="00A016D9"/>
    <w:rsid w:val="00A03791"/>
    <w:rsid w:val="00A15F93"/>
    <w:rsid w:val="00A207BD"/>
    <w:rsid w:val="00A265E1"/>
    <w:rsid w:val="00A26EC1"/>
    <w:rsid w:val="00A636F2"/>
    <w:rsid w:val="00A65234"/>
    <w:rsid w:val="00A85154"/>
    <w:rsid w:val="00A92F8F"/>
    <w:rsid w:val="00A94855"/>
    <w:rsid w:val="00A94B31"/>
    <w:rsid w:val="00AA5131"/>
    <w:rsid w:val="00AA6446"/>
    <w:rsid w:val="00AB33FD"/>
    <w:rsid w:val="00AB5A4A"/>
    <w:rsid w:val="00AE1743"/>
    <w:rsid w:val="00AE3564"/>
    <w:rsid w:val="00AE6CD3"/>
    <w:rsid w:val="00B04091"/>
    <w:rsid w:val="00B14321"/>
    <w:rsid w:val="00B217AC"/>
    <w:rsid w:val="00B271D6"/>
    <w:rsid w:val="00B55574"/>
    <w:rsid w:val="00B811FE"/>
    <w:rsid w:val="00BA7F79"/>
    <w:rsid w:val="00BC2947"/>
    <w:rsid w:val="00BC7F5C"/>
    <w:rsid w:val="00BD2098"/>
    <w:rsid w:val="00BE1B29"/>
    <w:rsid w:val="00BE55A4"/>
    <w:rsid w:val="00BF48FE"/>
    <w:rsid w:val="00BF6682"/>
    <w:rsid w:val="00C13243"/>
    <w:rsid w:val="00C24C62"/>
    <w:rsid w:val="00C27035"/>
    <w:rsid w:val="00C30402"/>
    <w:rsid w:val="00C42406"/>
    <w:rsid w:val="00C44BD2"/>
    <w:rsid w:val="00C45934"/>
    <w:rsid w:val="00C46994"/>
    <w:rsid w:val="00C50DBB"/>
    <w:rsid w:val="00C62A88"/>
    <w:rsid w:val="00C76BA4"/>
    <w:rsid w:val="00C7741E"/>
    <w:rsid w:val="00C86B4F"/>
    <w:rsid w:val="00C874A7"/>
    <w:rsid w:val="00C92F5F"/>
    <w:rsid w:val="00C9404A"/>
    <w:rsid w:val="00CA0DFA"/>
    <w:rsid w:val="00CC22AC"/>
    <w:rsid w:val="00CC3198"/>
    <w:rsid w:val="00CD679B"/>
    <w:rsid w:val="00CF2379"/>
    <w:rsid w:val="00D06927"/>
    <w:rsid w:val="00D14C6E"/>
    <w:rsid w:val="00D35B46"/>
    <w:rsid w:val="00D608CB"/>
    <w:rsid w:val="00D8395F"/>
    <w:rsid w:val="00DA50F4"/>
    <w:rsid w:val="00DA5218"/>
    <w:rsid w:val="00DD395D"/>
    <w:rsid w:val="00DD4C84"/>
    <w:rsid w:val="00DD5CC6"/>
    <w:rsid w:val="00DE21D1"/>
    <w:rsid w:val="00DE28E8"/>
    <w:rsid w:val="00DE7BC0"/>
    <w:rsid w:val="00DF1857"/>
    <w:rsid w:val="00DF5201"/>
    <w:rsid w:val="00E01336"/>
    <w:rsid w:val="00E137EE"/>
    <w:rsid w:val="00E357E5"/>
    <w:rsid w:val="00E40277"/>
    <w:rsid w:val="00E42DF3"/>
    <w:rsid w:val="00E4619E"/>
    <w:rsid w:val="00E549F7"/>
    <w:rsid w:val="00E67076"/>
    <w:rsid w:val="00E73D40"/>
    <w:rsid w:val="00E77532"/>
    <w:rsid w:val="00E85661"/>
    <w:rsid w:val="00E917DA"/>
    <w:rsid w:val="00E95D46"/>
    <w:rsid w:val="00E97C83"/>
    <w:rsid w:val="00EA02DF"/>
    <w:rsid w:val="00EA34D5"/>
    <w:rsid w:val="00EA68DE"/>
    <w:rsid w:val="00EB4B44"/>
    <w:rsid w:val="00EC0ABC"/>
    <w:rsid w:val="00EC4A15"/>
    <w:rsid w:val="00ED5A3F"/>
    <w:rsid w:val="00EE3923"/>
    <w:rsid w:val="00F05EFC"/>
    <w:rsid w:val="00F26DEB"/>
    <w:rsid w:val="00F461E5"/>
    <w:rsid w:val="00F51552"/>
    <w:rsid w:val="00F57869"/>
    <w:rsid w:val="00F60EE6"/>
    <w:rsid w:val="00F63088"/>
    <w:rsid w:val="00F64023"/>
    <w:rsid w:val="00F6491B"/>
    <w:rsid w:val="00FA0C73"/>
    <w:rsid w:val="00FA56EF"/>
    <w:rsid w:val="00FB3323"/>
    <w:rsid w:val="00FB342C"/>
    <w:rsid w:val="00FB3E3E"/>
    <w:rsid w:val="00FC142F"/>
    <w:rsid w:val="00FC5C13"/>
    <w:rsid w:val="00FD2058"/>
    <w:rsid w:val="00FD48A4"/>
    <w:rsid w:val="00FE744E"/>
    <w:rsid w:val="2025267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eastAsia="仿宋_GB2312"/>
      <w:kern w:val="2"/>
      <w:sz w:val="30"/>
      <w:szCs w:val="30"/>
      <w:lang w:val="en-US" w:eastAsia="zh-CN" w:bidi="ar-SA"/>
    </w:rPr>
  </w:style>
  <w:style w:type="character" w:default="1" w:styleId="11">
    <w:name w:val="Default Paragraph Font"/>
    <w:semiHidden/>
    <w:uiPriority w:val="0"/>
  </w:style>
  <w:style w:type="table" w:default="1" w:styleId="10">
    <w:name w:val="Normal Table"/>
    <w:semiHidden/>
    <w:uiPriority w:val="0"/>
    <w:tblPr>
      <w:tblStyle w:val="10"/>
      <w:tblCellMar>
        <w:top w:w="0" w:type="dxa"/>
        <w:left w:w="108" w:type="dxa"/>
        <w:bottom w:w="0" w:type="dxa"/>
        <w:right w:w="108" w:type="dxa"/>
      </w:tblCellMar>
    </w:tblPr>
    <w:trPr>
      <w:wBefore w:w="0" w:type="dxa"/>
    </w:trPr>
  </w:style>
  <w:style w:type="paragraph" w:styleId="2">
    <w:name w:val="Body Text"/>
    <w:basedOn w:val="1"/>
    <w:uiPriority w:val="0"/>
    <w:rPr>
      <w:rFonts w:eastAsia="宋体"/>
      <w:sz w:val="32"/>
    </w:rPr>
  </w:style>
  <w:style w:type="paragraph" w:styleId="3">
    <w:name w:val="Body Text Indent"/>
    <w:basedOn w:val="1"/>
    <w:uiPriority w:val="0"/>
    <w:pPr>
      <w:ind w:firstLine="592"/>
    </w:pPr>
  </w:style>
  <w:style w:type="paragraph" w:styleId="4">
    <w:name w:val="Date"/>
    <w:basedOn w:val="1"/>
    <w:next w:val="1"/>
    <w:uiPriority w:val="0"/>
    <w:pPr>
      <w:ind w:left="100" w:leftChars="2500"/>
    </w:pPr>
  </w:style>
  <w:style w:type="paragraph" w:styleId="5">
    <w:name w:val="Body Text Indent 2"/>
    <w:basedOn w:val="1"/>
    <w:uiPriority w:val="0"/>
    <w:pPr>
      <w:ind w:firstLine="630"/>
    </w:pPr>
    <w:rPr>
      <w:sz w:val="30"/>
    </w:rPr>
  </w:style>
  <w:style w:type="paragraph" w:styleId="6">
    <w:name w:val="Balloon Text"/>
    <w:basedOn w:val="1"/>
    <w:semiHidden/>
    <w:uiPriority w:val="0"/>
    <w:rPr>
      <w:sz w:val="18"/>
      <w:szCs w:val="18"/>
    </w:rPr>
  </w:style>
  <w:style w:type="paragraph" w:styleId="7">
    <w:name w:val="footer"/>
    <w:basedOn w:val="1"/>
    <w:uiPriority w:val="0"/>
    <w:pPr>
      <w:tabs>
        <w:tab w:val="center" w:pos="4153"/>
        <w:tab w:val="right" w:pos="8306"/>
      </w:tabs>
      <w:snapToGrid w:val="0"/>
      <w:jc w:val="left"/>
    </w:pPr>
    <w:rPr>
      <w:sz w:val="18"/>
    </w:rPr>
  </w:style>
  <w:style w:type="paragraph" w:styleId="8">
    <w:name w:val="header"/>
    <w:basedOn w:val="1"/>
    <w:uiPriority w:val="0"/>
    <w:pPr>
      <w:pBdr>
        <w:bottom w:val="single" w:color="auto" w:sz="6" w:space="1"/>
      </w:pBdr>
      <w:tabs>
        <w:tab w:val="center" w:pos="4153"/>
        <w:tab w:val="right" w:pos="8306"/>
      </w:tabs>
      <w:snapToGrid w:val="0"/>
      <w:jc w:val="center"/>
    </w:pPr>
    <w:rPr>
      <w:sz w:val="18"/>
    </w:rPr>
  </w:style>
  <w:style w:type="paragraph" w:styleId="9">
    <w:name w:val="Normal (Web)"/>
    <w:basedOn w:val="1"/>
    <w:semiHidden/>
    <w:unhideWhenUsed/>
    <w:uiPriority w:val="0"/>
    <w:pPr>
      <w:widowControl/>
      <w:spacing w:before="100" w:beforeAutospacing="1" w:after="100" w:afterAutospacing="1"/>
      <w:jc w:val="left"/>
    </w:pPr>
    <w:rPr>
      <w:rFonts w:ascii="宋体" w:hAnsi="宋体" w:eastAsia="宋体" w:cs="宋体"/>
      <w:kern w:val="0"/>
      <w:sz w:val="24"/>
      <w:szCs w:val="24"/>
    </w:rPr>
  </w:style>
  <w:style w:type="character" w:styleId="12">
    <w:name w:val="Strong"/>
    <w:basedOn w:val="11"/>
    <w:qFormat/>
    <w:uiPriority w:val="0"/>
    <w:rPr>
      <w:b/>
      <w:bCs/>
    </w:rPr>
  </w:style>
  <w:style w:type="character" w:styleId="13">
    <w:name w:val="page number"/>
    <w:basedOn w:val="11"/>
    <w:uiPriority w:val="0"/>
  </w:style>
  <w:style w:type="character" w:customStyle="1" w:styleId="14">
    <w:name w:val="apple-converted-space"/>
    <w:basedOn w:val="11"/>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26700;&#38754;\&#21457;&#25991;&#27169;&#26495;&#26032;.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发文模板新</Template>
  <Company>fxn</Company>
  <Pages>9</Pages>
  <Words>4400</Words>
  <Characters>4463</Characters>
  <Lines>46</Lines>
  <Paragraphs>13</Paragraphs>
  <TotalTime>2</TotalTime>
  <ScaleCrop>false</ScaleCrop>
  <LinksUpToDate>false</LinksUpToDate>
  <CharactersWithSpaces>4513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2018-10-23T07:38:00Z</dcterms:created>
  <dc:creator>User</dc:creator>
  <cp:lastModifiedBy>ZWFWB6</cp:lastModifiedBy>
  <cp:lastPrinted>2018-06-04T03:06:00Z</cp:lastPrinted>
  <dcterms:modified xsi:type="dcterms:W3CDTF">2026-04-15T01:40:00Z</dcterms:modified>
  <dc:title>沪体   [2001]    号</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eyJoZGlkIjoiNDJlY2FjY2ZiMjM5NzYyZDllYjRlNDNlNDI1Njg2OGQiLCJ1c2VySWQiOiIxNDMzMzc0ODM5In0=</vt:lpwstr>
  </property>
  <property fmtid="{D5CDD505-2E9C-101B-9397-08002B2CF9AE}" pid="3" name="KSOProductBuildVer">
    <vt:lpwstr>2052-12.1.0.25225</vt:lpwstr>
  </property>
  <property fmtid="{D5CDD505-2E9C-101B-9397-08002B2CF9AE}" pid="4" name="ICV">
    <vt:lpwstr>48909E3564CE41BEBC8B4D5BE3D4B100_13</vt:lpwstr>
  </property>
</Properties>
</file>