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1D779">
      <w:pPr>
        <w:adjustRightInd w:val="0"/>
        <w:snapToGrid w:val="0"/>
        <w:spacing w:line="540" w:lineRule="exact"/>
        <w:jc w:val="center"/>
        <w:rPr>
          <w:rFonts w:ascii="宋体" w:hAnsi="宋体" w:cs="宋体"/>
          <w:b/>
          <w:bCs/>
          <w:sz w:val="36"/>
          <w:szCs w:val="36"/>
        </w:rPr>
      </w:pPr>
      <w:bookmarkStart w:id="1" w:name="_GoBack"/>
      <w:bookmarkEnd w:id="1"/>
      <w:r>
        <w:rPr>
          <w:rFonts w:hint="eastAsia" w:ascii="宋体" w:hAnsi="宋体" w:cs="宋体"/>
          <w:b/>
          <w:bCs/>
          <w:sz w:val="36"/>
          <w:szCs w:val="36"/>
        </w:rPr>
        <w:t>上海市第十八届运动会马术比赛（青少年组）</w:t>
      </w:r>
    </w:p>
    <w:p w14:paraId="58F41D2A">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280FB6CA">
      <w:pPr>
        <w:adjustRightInd w:val="0"/>
        <w:snapToGrid w:val="0"/>
        <w:spacing w:line="480" w:lineRule="exact"/>
        <w:ind w:firstLine="562" w:firstLineChars="200"/>
        <w:rPr>
          <w:rFonts w:ascii="仿宋" w:hAnsi="仿宋" w:eastAsia="仿宋" w:cs="仿宋"/>
          <w:b/>
          <w:sz w:val="28"/>
          <w:szCs w:val="28"/>
        </w:rPr>
      </w:pPr>
    </w:p>
    <w:p w14:paraId="7DE437C0">
      <w:pPr>
        <w:adjustRightInd w:val="0"/>
        <w:snapToGrid w:val="0"/>
        <w:spacing w:line="48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373BAED2">
      <w:pPr>
        <w:adjustRightInd w:val="0"/>
        <w:snapToGrid w:val="0"/>
        <w:spacing w:line="480" w:lineRule="exact"/>
        <w:ind w:firstLine="562" w:firstLineChars="200"/>
        <w:rPr>
          <w:rFonts w:ascii="仿宋" w:hAnsi="仿宋" w:eastAsia="仿宋" w:cs="仿宋"/>
          <w:bCs/>
          <w:sz w:val="28"/>
          <w:szCs w:val="28"/>
        </w:rPr>
      </w:pPr>
      <w:r>
        <w:rPr>
          <w:rFonts w:hint="eastAsia" w:ascii="仿宋" w:hAnsi="仿宋" w:eastAsia="仿宋" w:cs="仿宋"/>
          <w:b/>
          <w:sz w:val="28"/>
          <w:szCs w:val="28"/>
        </w:rPr>
        <w:t>二、承办单位：</w:t>
      </w:r>
      <w:r>
        <w:rPr>
          <w:rFonts w:hint="eastAsia" w:ascii="仿宋" w:hAnsi="仿宋" w:eastAsia="仿宋" w:cs="仿宋"/>
          <w:bCs/>
          <w:sz w:val="28"/>
          <w:szCs w:val="28"/>
        </w:rPr>
        <w:t>上海市徐汇区体育局、上海市奉贤区体育局</w:t>
      </w:r>
    </w:p>
    <w:p w14:paraId="07AE81B0">
      <w:pPr>
        <w:adjustRightInd w:val="0"/>
        <w:snapToGrid w:val="0"/>
        <w:spacing w:line="480" w:lineRule="exact"/>
        <w:ind w:firstLine="2520" w:firstLineChars="900"/>
        <w:rPr>
          <w:rFonts w:ascii="仿宋" w:hAnsi="仿宋" w:eastAsia="仿宋" w:cs="仿宋"/>
          <w:sz w:val="28"/>
          <w:szCs w:val="28"/>
        </w:rPr>
      </w:pPr>
      <w:r>
        <w:rPr>
          <w:rFonts w:hint="eastAsia" w:ascii="仿宋" w:hAnsi="仿宋" w:eastAsia="仿宋" w:cs="仿宋"/>
          <w:sz w:val="28"/>
          <w:szCs w:val="28"/>
        </w:rPr>
        <w:t>上海市马术运动管理中心</w:t>
      </w:r>
    </w:p>
    <w:p w14:paraId="4CB1F6C8">
      <w:pPr>
        <w:adjustRightInd w:val="0"/>
        <w:snapToGrid w:val="0"/>
        <w:spacing w:line="480" w:lineRule="exact"/>
        <w:ind w:firstLine="2520" w:firstLineChars="900"/>
        <w:rPr>
          <w:rFonts w:ascii="仿宋" w:hAnsi="仿宋" w:eastAsia="仿宋" w:cs="仿宋"/>
          <w:sz w:val="28"/>
          <w:szCs w:val="28"/>
        </w:rPr>
      </w:pPr>
      <w:r>
        <w:rPr>
          <w:rFonts w:hint="eastAsia" w:ascii="仿宋" w:hAnsi="仿宋" w:eastAsia="仿宋" w:cs="仿宋"/>
          <w:sz w:val="28"/>
          <w:szCs w:val="28"/>
        </w:rPr>
        <w:t>上海市马术协会</w:t>
      </w:r>
    </w:p>
    <w:p w14:paraId="6255392F">
      <w:pPr>
        <w:adjustRightInd w:val="0"/>
        <w:snapToGrid w:val="0"/>
        <w:spacing w:line="480" w:lineRule="exact"/>
        <w:ind w:firstLine="2520" w:firstLineChars="900"/>
        <w:rPr>
          <w:rFonts w:ascii="仿宋" w:hAnsi="仿宋" w:eastAsia="仿宋" w:cs="仿宋"/>
          <w:sz w:val="28"/>
          <w:szCs w:val="28"/>
        </w:rPr>
      </w:pPr>
      <w:r>
        <w:rPr>
          <w:rFonts w:hint="eastAsia" w:ascii="仿宋" w:hAnsi="仿宋" w:eastAsia="仿宋" w:cs="仿宋"/>
          <w:sz w:val="28"/>
          <w:szCs w:val="28"/>
        </w:rPr>
        <w:t>上海源长流马术俱乐部有限公司</w:t>
      </w:r>
    </w:p>
    <w:p w14:paraId="7A7FBACE">
      <w:pPr>
        <w:adjustRightInd w:val="0"/>
        <w:snapToGrid w:val="0"/>
        <w:spacing w:line="480" w:lineRule="exact"/>
        <w:ind w:firstLine="2520" w:firstLineChars="900"/>
        <w:rPr>
          <w:rFonts w:ascii="仿宋" w:hAnsi="仿宋" w:eastAsia="仿宋" w:cs="仿宋"/>
          <w:sz w:val="28"/>
          <w:szCs w:val="28"/>
        </w:rPr>
      </w:pPr>
      <w:r>
        <w:rPr>
          <w:rFonts w:hint="eastAsia" w:ascii="仿宋" w:hAnsi="仿宋" w:eastAsia="仿宋" w:cs="仿宋"/>
          <w:sz w:val="28"/>
          <w:szCs w:val="28"/>
        </w:rPr>
        <w:t>上海乐派特马术俱乐部有限公司</w:t>
      </w:r>
    </w:p>
    <w:p w14:paraId="112E5EE9">
      <w:pPr>
        <w:adjustRightInd w:val="0"/>
        <w:snapToGrid w:val="0"/>
        <w:spacing w:line="480" w:lineRule="exact"/>
        <w:ind w:firstLine="562" w:firstLineChars="200"/>
        <w:rPr>
          <w:rFonts w:ascii="仿宋" w:hAnsi="仿宋" w:eastAsia="仿宋" w:cs="仿宋"/>
          <w:b/>
          <w:sz w:val="28"/>
          <w:szCs w:val="28"/>
        </w:rPr>
      </w:pPr>
      <w:r>
        <w:rPr>
          <w:rFonts w:hint="eastAsia" w:ascii="仿宋" w:hAnsi="仿宋" w:eastAsia="仿宋" w:cs="仿宋"/>
          <w:b/>
          <w:sz w:val="28"/>
          <w:szCs w:val="28"/>
        </w:rPr>
        <w:t>三、竞赛日期：</w:t>
      </w:r>
      <w:r>
        <w:rPr>
          <w:rFonts w:hint="eastAsia" w:ascii="仿宋" w:hAnsi="仿宋" w:eastAsia="仿宋" w:cs="仿宋"/>
          <w:sz w:val="28"/>
          <w:szCs w:val="28"/>
        </w:rPr>
        <w:t>场地障碍：2026年10月</w:t>
      </w:r>
    </w:p>
    <w:p w14:paraId="3AFBBDAD">
      <w:pPr>
        <w:adjustRightInd w:val="0"/>
        <w:snapToGrid w:val="0"/>
        <w:spacing w:line="480" w:lineRule="exact"/>
        <w:ind w:firstLine="562" w:firstLineChars="200"/>
        <w:rPr>
          <w:rFonts w:ascii="仿宋" w:hAnsi="仿宋" w:eastAsia="仿宋" w:cs="仿宋"/>
          <w:bCs/>
          <w:sz w:val="28"/>
          <w:szCs w:val="28"/>
        </w:rPr>
      </w:pPr>
      <w:r>
        <w:rPr>
          <w:rFonts w:hint="eastAsia" w:ascii="仿宋" w:hAnsi="仿宋" w:eastAsia="仿宋" w:cs="仿宋"/>
          <w:b/>
          <w:sz w:val="28"/>
          <w:szCs w:val="28"/>
        </w:rPr>
        <w:t xml:space="preserve">              </w:t>
      </w:r>
      <w:r>
        <w:rPr>
          <w:rFonts w:hint="eastAsia" w:ascii="仿宋" w:hAnsi="仿宋" w:eastAsia="仿宋" w:cs="仿宋"/>
          <w:bCs/>
          <w:sz w:val="28"/>
          <w:szCs w:val="28"/>
        </w:rPr>
        <w:t>盛装舞步：</w:t>
      </w:r>
      <w:r>
        <w:rPr>
          <w:rFonts w:hint="eastAsia" w:ascii="仿宋" w:hAnsi="仿宋" w:eastAsia="仿宋" w:cs="仿宋"/>
          <w:sz w:val="28"/>
          <w:szCs w:val="28"/>
        </w:rPr>
        <w:t>2026年10月</w:t>
      </w:r>
    </w:p>
    <w:p w14:paraId="551F8B46">
      <w:pPr>
        <w:spacing w:line="440" w:lineRule="exact"/>
        <w:ind w:firstLine="562" w:firstLineChars="200"/>
        <w:rPr>
          <w:rFonts w:hint="eastAsia" w:ascii="仿宋" w:hAnsi="仿宋" w:eastAsia="仿宋" w:cs="仿宋"/>
          <w:sz w:val="28"/>
          <w:szCs w:val="28"/>
          <w:lang w:val="en-US" w:eastAsia="zh-CN"/>
        </w:rPr>
      </w:pPr>
      <w:r>
        <w:rPr>
          <w:rFonts w:hint="eastAsia" w:ascii="仿宋" w:hAnsi="仿宋" w:eastAsia="仿宋" w:cs="仿宋"/>
          <w:b/>
          <w:sz w:val="28"/>
          <w:szCs w:val="28"/>
        </w:rPr>
        <w:t>四、竞赛地点：</w:t>
      </w:r>
      <w:r>
        <w:rPr>
          <w:rFonts w:hint="eastAsia" w:ascii="仿宋" w:hAnsi="仿宋" w:eastAsia="仿宋" w:cs="仿宋"/>
          <w:b w:val="0"/>
          <w:bCs/>
          <w:sz w:val="28"/>
          <w:szCs w:val="28"/>
          <w:lang w:eastAsia="zh-CN"/>
        </w:rPr>
        <w:t>待定</w:t>
      </w:r>
    </w:p>
    <w:p w14:paraId="362ECFC0">
      <w:pPr>
        <w:adjustRightInd w:val="0"/>
        <w:snapToGrid w:val="0"/>
        <w:spacing w:line="480" w:lineRule="exact"/>
        <w:ind w:firstLine="562" w:firstLineChars="200"/>
        <w:rPr>
          <w:rFonts w:ascii="仿宋" w:hAnsi="仿宋" w:eastAsia="仿宋" w:cs="仿宋"/>
          <w:sz w:val="28"/>
          <w:szCs w:val="28"/>
        </w:rPr>
      </w:pPr>
      <w:r>
        <w:rPr>
          <w:rFonts w:hint="eastAsia" w:ascii="仿宋" w:hAnsi="仿宋" w:eastAsia="仿宋" w:cs="仿宋"/>
          <w:b/>
          <w:bCs/>
          <w:sz w:val="28"/>
          <w:szCs w:val="28"/>
        </w:rPr>
        <w:t>五、参赛单位</w:t>
      </w:r>
      <w:r>
        <w:rPr>
          <w:rFonts w:hint="eastAsia" w:ascii="仿宋" w:hAnsi="仿宋" w:eastAsia="仿宋" w:cs="仿宋"/>
          <w:sz w:val="28"/>
          <w:szCs w:val="28"/>
        </w:rPr>
        <w:t>：本市各区</w:t>
      </w:r>
    </w:p>
    <w:tbl>
      <w:tblPr>
        <w:tblStyle w:val="10"/>
        <w:tblpPr w:leftFromText="180" w:rightFromText="180" w:vertAnchor="text" w:horzAnchor="page" w:tblpXSpec="center" w:tblpY="700"/>
        <w:tblOverlap w:val="never"/>
        <w:tblW w:w="840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1"/>
        <w:gridCol w:w="1794"/>
        <w:gridCol w:w="744"/>
        <w:gridCol w:w="2874"/>
        <w:gridCol w:w="2432"/>
      </w:tblGrid>
      <w:tr w14:paraId="7E49B7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561" w:type="dxa"/>
            <w:tcBorders>
              <w:top w:val="single" w:color="000000" w:sz="6" w:space="0"/>
              <w:left w:val="single" w:color="000000" w:sz="6" w:space="0"/>
              <w:bottom w:val="nil"/>
              <w:right w:val="single" w:color="000000" w:sz="6" w:space="0"/>
            </w:tcBorders>
            <w:vAlign w:val="center"/>
          </w:tcPr>
          <w:p w14:paraId="3CE4D1FD">
            <w:pPr>
              <w:ind w:left="9"/>
              <w:jc w:val="center"/>
              <w:rPr>
                <w:rFonts w:ascii="仿宋" w:hAnsi="仿宋" w:eastAsia="仿宋" w:cs="仿宋"/>
                <w:szCs w:val="21"/>
              </w:rPr>
            </w:pPr>
            <w:r>
              <w:rPr>
                <w:rFonts w:hint="eastAsia" w:ascii="仿宋" w:hAnsi="仿宋" w:eastAsia="仿宋" w:cs="仿宋"/>
                <w:b/>
                <w:bCs/>
                <w:szCs w:val="21"/>
              </w:rPr>
              <w:t>组别</w:t>
            </w:r>
          </w:p>
        </w:tc>
        <w:tc>
          <w:tcPr>
            <w:tcW w:w="1794" w:type="dxa"/>
            <w:tcBorders>
              <w:top w:val="single" w:color="000000" w:sz="6" w:space="0"/>
              <w:left w:val="single" w:color="000000" w:sz="6" w:space="0"/>
              <w:bottom w:val="nil"/>
              <w:right w:val="single" w:color="000000" w:sz="6" w:space="0"/>
            </w:tcBorders>
            <w:vAlign w:val="center"/>
          </w:tcPr>
          <w:p w14:paraId="3158BD90">
            <w:pPr>
              <w:ind w:left="23"/>
              <w:jc w:val="center"/>
              <w:rPr>
                <w:rFonts w:ascii="仿宋" w:hAnsi="仿宋" w:eastAsia="仿宋" w:cs="仿宋"/>
                <w:szCs w:val="21"/>
              </w:rPr>
            </w:pPr>
            <w:r>
              <w:rPr>
                <w:rFonts w:hint="eastAsia" w:ascii="仿宋" w:hAnsi="仿宋" w:eastAsia="仿宋" w:cs="仿宋"/>
                <w:b/>
                <w:bCs/>
                <w:szCs w:val="21"/>
              </w:rPr>
              <w:t>年龄段</w:t>
            </w:r>
          </w:p>
        </w:tc>
        <w:tc>
          <w:tcPr>
            <w:tcW w:w="744" w:type="dxa"/>
            <w:tcBorders>
              <w:top w:val="single" w:color="000000" w:sz="6" w:space="0"/>
              <w:left w:val="single" w:color="000000" w:sz="6" w:space="0"/>
              <w:bottom w:val="nil"/>
              <w:right w:val="single" w:color="000000" w:sz="6" w:space="0"/>
            </w:tcBorders>
            <w:vAlign w:val="center"/>
          </w:tcPr>
          <w:p w14:paraId="346D114F">
            <w:pPr>
              <w:ind w:left="49"/>
              <w:jc w:val="center"/>
              <w:rPr>
                <w:rFonts w:ascii="仿宋" w:hAnsi="仿宋" w:eastAsia="仿宋" w:cs="仿宋"/>
                <w:szCs w:val="21"/>
              </w:rPr>
            </w:pPr>
            <w:r>
              <w:rPr>
                <w:rFonts w:hint="eastAsia" w:ascii="仿宋" w:hAnsi="仿宋" w:eastAsia="仿宋" w:cs="仿宋"/>
                <w:b/>
                <w:bCs/>
                <w:szCs w:val="21"/>
              </w:rPr>
              <w:t>设项数</w:t>
            </w:r>
          </w:p>
        </w:tc>
        <w:tc>
          <w:tcPr>
            <w:tcW w:w="2874" w:type="dxa"/>
            <w:tcBorders>
              <w:top w:val="single" w:color="000000" w:sz="6" w:space="0"/>
              <w:left w:val="single" w:color="000000" w:sz="6" w:space="0"/>
              <w:bottom w:val="single" w:color="000000" w:sz="6" w:space="0"/>
              <w:right w:val="single" w:color="000000" w:sz="6" w:space="0"/>
            </w:tcBorders>
            <w:vAlign w:val="center"/>
          </w:tcPr>
          <w:p w14:paraId="573DCEED">
            <w:pPr>
              <w:ind w:left="9"/>
              <w:jc w:val="center"/>
              <w:rPr>
                <w:rFonts w:ascii="仿宋" w:hAnsi="仿宋" w:eastAsia="仿宋" w:cs="仿宋"/>
                <w:b/>
                <w:bCs/>
                <w:szCs w:val="21"/>
              </w:rPr>
            </w:pPr>
            <w:r>
              <w:rPr>
                <w:rFonts w:hint="eastAsia" w:ascii="仿宋" w:hAnsi="仿宋" w:eastAsia="仿宋" w:cs="仿宋"/>
                <w:b/>
                <w:bCs/>
                <w:szCs w:val="21"/>
              </w:rPr>
              <w:t>男子</w:t>
            </w:r>
          </w:p>
        </w:tc>
        <w:tc>
          <w:tcPr>
            <w:tcW w:w="2432" w:type="dxa"/>
            <w:tcBorders>
              <w:top w:val="single" w:color="000000" w:sz="6" w:space="0"/>
              <w:left w:val="single" w:color="000000" w:sz="6" w:space="0"/>
              <w:bottom w:val="single" w:color="000000" w:sz="6" w:space="0"/>
              <w:right w:val="single" w:color="000000" w:sz="6" w:space="0"/>
            </w:tcBorders>
            <w:vAlign w:val="center"/>
          </w:tcPr>
          <w:p w14:paraId="79384205">
            <w:pPr>
              <w:ind w:left="9"/>
              <w:jc w:val="center"/>
              <w:rPr>
                <w:rFonts w:ascii="仿宋" w:hAnsi="仿宋" w:eastAsia="仿宋" w:cs="仿宋"/>
                <w:b/>
                <w:bCs/>
                <w:szCs w:val="21"/>
              </w:rPr>
            </w:pPr>
            <w:r>
              <w:rPr>
                <w:rFonts w:hint="eastAsia" w:ascii="仿宋" w:hAnsi="仿宋" w:eastAsia="仿宋" w:cs="仿宋"/>
                <w:b/>
                <w:bCs/>
                <w:szCs w:val="21"/>
              </w:rPr>
              <w:t>女子</w:t>
            </w:r>
          </w:p>
        </w:tc>
      </w:tr>
      <w:tr w14:paraId="47F10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45" w:hRule="atLeast"/>
          <w:jc w:val="center"/>
        </w:trPr>
        <w:tc>
          <w:tcPr>
            <w:tcW w:w="561" w:type="dxa"/>
            <w:tcBorders>
              <w:top w:val="single" w:color="000000" w:sz="6" w:space="0"/>
              <w:left w:val="single" w:color="000000" w:sz="6" w:space="0"/>
              <w:bottom w:val="nil"/>
              <w:right w:val="single" w:color="000000" w:sz="6" w:space="0"/>
            </w:tcBorders>
            <w:vAlign w:val="center"/>
          </w:tcPr>
          <w:p w14:paraId="6D1347E7">
            <w:pPr>
              <w:jc w:val="center"/>
              <w:rPr>
                <w:rFonts w:ascii="仿宋" w:hAnsi="仿宋" w:eastAsia="仿宋" w:cs="仿宋"/>
                <w:szCs w:val="21"/>
              </w:rPr>
            </w:pPr>
            <w:r>
              <w:rPr>
                <w:rFonts w:hint="eastAsia" w:ascii="仿宋" w:hAnsi="仿宋" w:eastAsia="仿宋" w:cs="仿宋"/>
                <w:szCs w:val="21"/>
              </w:rPr>
              <w:t>A</w:t>
            </w:r>
          </w:p>
        </w:tc>
        <w:tc>
          <w:tcPr>
            <w:tcW w:w="1794" w:type="dxa"/>
            <w:tcBorders>
              <w:top w:val="single" w:color="000000" w:sz="6" w:space="0"/>
              <w:left w:val="single" w:color="000000" w:sz="6" w:space="0"/>
              <w:bottom w:val="nil"/>
              <w:right w:val="single" w:color="000000" w:sz="6" w:space="0"/>
            </w:tcBorders>
            <w:vAlign w:val="center"/>
          </w:tcPr>
          <w:p w14:paraId="17BA653A">
            <w:pPr>
              <w:ind w:left="163"/>
              <w:jc w:val="center"/>
              <w:rPr>
                <w:rFonts w:ascii="仿宋" w:hAnsi="仿宋" w:eastAsia="仿宋" w:cs="仿宋"/>
                <w:szCs w:val="21"/>
              </w:rPr>
            </w:pPr>
            <w:r>
              <w:rPr>
                <w:rFonts w:hint="eastAsia" w:ascii="仿宋" w:hAnsi="仿宋" w:eastAsia="仿宋" w:cs="仿宋"/>
                <w:szCs w:val="21"/>
              </w:rPr>
              <w:t>08.9.1-10.12.31</w:t>
            </w:r>
          </w:p>
        </w:tc>
        <w:tc>
          <w:tcPr>
            <w:tcW w:w="744" w:type="dxa"/>
            <w:tcBorders>
              <w:top w:val="single" w:color="000000" w:sz="6" w:space="0"/>
              <w:left w:val="single" w:color="000000" w:sz="6" w:space="0"/>
              <w:bottom w:val="nil"/>
              <w:right w:val="single" w:color="000000" w:sz="6" w:space="0"/>
            </w:tcBorders>
            <w:vAlign w:val="center"/>
          </w:tcPr>
          <w:p w14:paraId="64CA22BB">
            <w:pPr>
              <w:spacing w:before="59" w:line="183" w:lineRule="auto"/>
              <w:ind w:left="21" w:leftChars="10"/>
              <w:jc w:val="center"/>
              <w:rPr>
                <w:rFonts w:ascii="仿宋" w:hAnsi="仿宋" w:eastAsia="仿宋" w:cs="仿宋"/>
                <w:szCs w:val="21"/>
              </w:rPr>
            </w:pPr>
          </w:p>
          <w:p w14:paraId="39A356C5">
            <w:pPr>
              <w:spacing w:before="59" w:line="183" w:lineRule="auto"/>
              <w:ind w:left="21" w:leftChars="10"/>
              <w:jc w:val="center"/>
              <w:rPr>
                <w:rFonts w:ascii="仿宋" w:hAnsi="仿宋" w:eastAsia="仿宋" w:cs="仿宋"/>
                <w:szCs w:val="21"/>
              </w:rPr>
            </w:pPr>
            <w:r>
              <w:rPr>
                <w:rFonts w:hint="eastAsia" w:ascii="仿宋" w:hAnsi="仿宋" w:eastAsia="仿宋" w:cs="仿宋"/>
                <w:szCs w:val="21"/>
              </w:rPr>
              <w:t>4</w:t>
            </w:r>
          </w:p>
          <w:p w14:paraId="4A44A08D">
            <w:pPr>
              <w:spacing w:before="59" w:line="183" w:lineRule="auto"/>
              <w:ind w:left="21" w:leftChars="10"/>
              <w:jc w:val="center"/>
              <w:rPr>
                <w:rFonts w:ascii="仿宋" w:hAnsi="仿宋" w:eastAsia="仿宋" w:cs="仿宋"/>
                <w:szCs w:val="21"/>
              </w:rPr>
            </w:pPr>
          </w:p>
        </w:tc>
        <w:tc>
          <w:tcPr>
            <w:tcW w:w="5306" w:type="dxa"/>
            <w:gridSpan w:val="2"/>
            <w:tcBorders>
              <w:top w:val="single" w:color="000000" w:sz="6" w:space="0"/>
              <w:left w:val="single" w:color="000000" w:sz="6" w:space="0"/>
              <w:right w:val="single" w:color="000000" w:sz="6" w:space="0"/>
            </w:tcBorders>
            <w:vAlign w:val="center"/>
          </w:tcPr>
          <w:p w14:paraId="45D02B05">
            <w:pPr>
              <w:ind w:left="73" w:leftChars="35"/>
              <w:jc w:val="left"/>
              <w:rPr>
                <w:rFonts w:ascii="仿宋" w:hAnsi="仿宋" w:eastAsia="仿宋" w:cs="仿宋"/>
                <w:szCs w:val="21"/>
              </w:rPr>
            </w:pPr>
            <w:r>
              <w:rPr>
                <w:rFonts w:hint="eastAsia" w:ascii="仿宋" w:hAnsi="仿宋" w:eastAsia="仿宋" w:cs="仿宋"/>
                <w:szCs w:val="21"/>
              </w:rPr>
              <w:t>场地障碍1.15-1.20米个人赛</w:t>
            </w:r>
          </w:p>
          <w:p w14:paraId="5E0F4AF0">
            <w:pPr>
              <w:ind w:left="73" w:leftChars="35"/>
              <w:jc w:val="left"/>
              <w:rPr>
                <w:rFonts w:ascii="仿宋" w:hAnsi="仿宋" w:eastAsia="仿宋" w:cs="仿宋"/>
                <w:szCs w:val="21"/>
              </w:rPr>
            </w:pPr>
            <w:r>
              <w:rPr>
                <w:rFonts w:hint="eastAsia" w:ascii="仿宋" w:hAnsi="仿宋" w:eastAsia="仿宋" w:cs="仿宋"/>
                <w:szCs w:val="21"/>
              </w:rPr>
              <w:t>场地障碍1.25-1.30米个人赛</w:t>
            </w:r>
          </w:p>
          <w:p w14:paraId="0BBAB727">
            <w:pPr>
              <w:ind w:left="73" w:leftChars="35"/>
              <w:jc w:val="left"/>
              <w:rPr>
                <w:rFonts w:ascii="仿宋" w:hAnsi="仿宋" w:eastAsia="仿宋" w:cs="仿宋"/>
                <w:szCs w:val="21"/>
              </w:rPr>
            </w:pPr>
            <w:r>
              <w:rPr>
                <w:rFonts w:hint="eastAsia" w:ascii="仿宋" w:hAnsi="仿宋" w:eastAsia="仿宋" w:cs="仿宋"/>
                <w:szCs w:val="21"/>
              </w:rPr>
              <w:t>盛装舞步中一级科目个人赛</w:t>
            </w:r>
          </w:p>
          <w:p w14:paraId="1510FE1B">
            <w:pPr>
              <w:ind w:left="73" w:leftChars="35"/>
              <w:jc w:val="left"/>
              <w:rPr>
                <w:rFonts w:ascii="仿宋" w:hAnsi="仿宋" w:eastAsia="仿宋" w:cs="仿宋"/>
                <w:szCs w:val="21"/>
              </w:rPr>
            </w:pPr>
            <w:r>
              <w:rPr>
                <w:rFonts w:hint="eastAsia" w:ascii="仿宋" w:hAnsi="仿宋" w:eastAsia="仿宋" w:cs="仿宋"/>
                <w:szCs w:val="21"/>
              </w:rPr>
              <w:t>盛装舞步国际马联J14-18个人赛科目个人赛</w:t>
            </w:r>
          </w:p>
        </w:tc>
      </w:tr>
      <w:tr w14:paraId="401402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86" w:hRule="atLeast"/>
          <w:jc w:val="center"/>
        </w:trPr>
        <w:tc>
          <w:tcPr>
            <w:tcW w:w="561" w:type="dxa"/>
            <w:tcBorders>
              <w:top w:val="single" w:color="000000" w:sz="6" w:space="0"/>
              <w:left w:val="single" w:color="000000" w:sz="6" w:space="0"/>
              <w:bottom w:val="nil"/>
              <w:right w:val="single" w:color="000000" w:sz="6" w:space="0"/>
            </w:tcBorders>
            <w:vAlign w:val="center"/>
          </w:tcPr>
          <w:p w14:paraId="04DA6DE5">
            <w:pPr>
              <w:jc w:val="center"/>
              <w:rPr>
                <w:rFonts w:ascii="仿宋" w:hAnsi="仿宋" w:eastAsia="仿宋" w:cs="仿宋"/>
                <w:szCs w:val="21"/>
              </w:rPr>
            </w:pPr>
            <w:r>
              <w:rPr>
                <w:rFonts w:hint="eastAsia" w:ascii="仿宋" w:hAnsi="仿宋" w:eastAsia="仿宋" w:cs="仿宋"/>
                <w:szCs w:val="21"/>
              </w:rPr>
              <w:t>B</w:t>
            </w:r>
          </w:p>
        </w:tc>
        <w:tc>
          <w:tcPr>
            <w:tcW w:w="1794" w:type="dxa"/>
            <w:tcBorders>
              <w:top w:val="single" w:color="000000" w:sz="6" w:space="0"/>
              <w:left w:val="single" w:color="000000" w:sz="6" w:space="0"/>
              <w:bottom w:val="nil"/>
              <w:right w:val="single" w:color="000000" w:sz="6" w:space="0"/>
            </w:tcBorders>
            <w:vAlign w:val="center"/>
          </w:tcPr>
          <w:p w14:paraId="4AB68DB5">
            <w:pPr>
              <w:ind w:left="177"/>
              <w:jc w:val="center"/>
              <w:rPr>
                <w:rFonts w:ascii="仿宋" w:hAnsi="仿宋" w:eastAsia="仿宋" w:cs="仿宋"/>
                <w:szCs w:val="21"/>
              </w:rPr>
            </w:pPr>
            <w:r>
              <w:rPr>
                <w:rFonts w:hint="eastAsia" w:ascii="仿宋" w:hAnsi="仿宋" w:eastAsia="仿宋" w:cs="仿宋"/>
                <w:spacing w:val="-1"/>
                <w:szCs w:val="21"/>
              </w:rPr>
              <w:t>11.1.1-14.12.31</w:t>
            </w:r>
          </w:p>
        </w:tc>
        <w:tc>
          <w:tcPr>
            <w:tcW w:w="744" w:type="dxa"/>
            <w:tcBorders>
              <w:top w:val="single" w:color="000000" w:sz="6" w:space="0"/>
              <w:left w:val="single" w:color="000000" w:sz="6" w:space="0"/>
              <w:bottom w:val="nil"/>
              <w:right w:val="single" w:color="000000" w:sz="6" w:space="0"/>
            </w:tcBorders>
            <w:vAlign w:val="center"/>
          </w:tcPr>
          <w:p w14:paraId="58673657">
            <w:pPr>
              <w:spacing w:before="59" w:line="183" w:lineRule="auto"/>
              <w:ind w:left="21" w:leftChars="10"/>
              <w:jc w:val="center"/>
              <w:rPr>
                <w:rFonts w:ascii="仿宋" w:hAnsi="仿宋" w:eastAsia="仿宋" w:cs="仿宋"/>
                <w:szCs w:val="21"/>
              </w:rPr>
            </w:pPr>
            <w:r>
              <w:rPr>
                <w:rFonts w:hint="eastAsia" w:ascii="仿宋" w:hAnsi="仿宋" w:eastAsia="仿宋" w:cs="仿宋"/>
                <w:szCs w:val="21"/>
              </w:rPr>
              <w:t>6</w:t>
            </w:r>
          </w:p>
        </w:tc>
        <w:tc>
          <w:tcPr>
            <w:tcW w:w="5306" w:type="dxa"/>
            <w:gridSpan w:val="2"/>
            <w:tcBorders>
              <w:top w:val="single" w:color="000000" w:sz="6" w:space="0"/>
              <w:left w:val="single" w:color="000000" w:sz="6" w:space="0"/>
              <w:right w:val="single" w:color="000000" w:sz="6" w:space="0"/>
            </w:tcBorders>
            <w:vAlign w:val="center"/>
          </w:tcPr>
          <w:p w14:paraId="0A9C7C6E">
            <w:pPr>
              <w:ind w:left="73" w:leftChars="35"/>
              <w:jc w:val="left"/>
              <w:rPr>
                <w:rFonts w:ascii="仿宋" w:hAnsi="仿宋" w:eastAsia="仿宋" w:cs="仿宋"/>
                <w:szCs w:val="21"/>
              </w:rPr>
            </w:pPr>
            <w:r>
              <w:rPr>
                <w:rFonts w:hint="eastAsia" w:ascii="仿宋" w:hAnsi="仿宋" w:eastAsia="仿宋" w:cs="仿宋"/>
                <w:szCs w:val="21"/>
              </w:rPr>
              <w:t>两项赛（场地障碍50-60厘米&amp;80-90厘米）团体赛</w:t>
            </w:r>
          </w:p>
          <w:p w14:paraId="305E2CC1">
            <w:pPr>
              <w:ind w:left="73" w:leftChars="35"/>
              <w:jc w:val="left"/>
              <w:rPr>
                <w:rFonts w:ascii="仿宋" w:hAnsi="仿宋" w:eastAsia="仿宋" w:cs="仿宋"/>
                <w:szCs w:val="21"/>
              </w:rPr>
            </w:pPr>
            <w:r>
              <w:rPr>
                <w:rFonts w:hint="eastAsia" w:ascii="仿宋" w:hAnsi="仿宋" w:eastAsia="仿宋" w:cs="仿宋"/>
                <w:szCs w:val="21"/>
              </w:rPr>
              <w:t>两项赛（场地障碍1.05-1.10米&amp;中二级科目）个人赛</w:t>
            </w:r>
          </w:p>
          <w:p w14:paraId="27E7A2B6">
            <w:pPr>
              <w:ind w:left="73" w:leftChars="35"/>
              <w:jc w:val="left"/>
              <w:rPr>
                <w:rFonts w:ascii="仿宋" w:hAnsi="仿宋" w:eastAsia="仿宋" w:cs="仿宋"/>
                <w:szCs w:val="21"/>
              </w:rPr>
            </w:pPr>
            <w:r>
              <w:rPr>
                <w:rFonts w:hint="eastAsia" w:ascii="仿宋" w:hAnsi="仿宋" w:eastAsia="仿宋" w:cs="仿宋"/>
                <w:szCs w:val="21"/>
              </w:rPr>
              <w:t>场地障碍1.05-1.10米个人赛</w:t>
            </w:r>
          </w:p>
          <w:p w14:paraId="7C59D53D">
            <w:pPr>
              <w:ind w:left="73" w:leftChars="35"/>
              <w:jc w:val="left"/>
              <w:rPr>
                <w:rFonts w:ascii="仿宋" w:hAnsi="仿宋" w:eastAsia="仿宋" w:cs="仿宋"/>
                <w:szCs w:val="21"/>
              </w:rPr>
            </w:pPr>
            <w:r>
              <w:rPr>
                <w:rFonts w:hint="eastAsia" w:ascii="仿宋" w:hAnsi="仿宋" w:eastAsia="仿宋" w:cs="仿宋"/>
                <w:szCs w:val="21"/>
              </w:rPr>
              <w:t>场地障碍1.15-1.20米个人赛</w:t>
            </w:r>
          </w:p>
          <w:p w14:paraId="1D567D0C">
            <w:pPr>
              <w:ind w:left="73" w:leftChars="35"/>
              <w:jc w:val="left"/>
              <w:rPr>
                <w:rFonts w:ascii="仿宋" w:hAnsi="仿宋" w:eastAsia="仿宋" w:cs="仿宋"/>
                <w:szCs w:val="21"/>
              </w:rPr>
            </w:pPr>
            <w:r>
              <w:rPr>
                <w:rFonts w:hint="eastAsia" w:ascii="仿宋" w:hAnsi="仿宋" w:eastAsia="仿宋" w:cs="仿宋"/>
                <w:szCs w:val="21"/>
              </w:rPr>
              <w:t>盛装舞步中二级科目个人赛</w:t>
            </w:r>
          </w:p>
          <w:p w14:paraId="1A0800D1">
            <w:pPr>
              <w:ind w:left="73" w:leftChars="35"/>
              <w:jc w:val="left"/>
              <w:rPr>
                <w:rFonts w:ascii="仿宋" w:hAnsi="仿宋" w:eastAsia="仿宋" w:cs="仿宋"/>
                <w:szCs w:val="21"/>
              </w:rPr>
            </w:pPr>
            <w:r>
              <w:rPr>
                <w:rFonts w:hint="eastAsia" w:ascii="仿宋" w:hAnsi="仿宋" w:eastAsia="仿宋" w:cs="仿宋"/>
                <w:szCs w:val="21"/>
              </w:rPr>
              <w:t>盛装舞步国际马联Ch12-14个人赛科目个人赛</w:t>
            </w:r>
          </w:p>
        </w:tc>
      </w:tr>
      <w:tr w14:paraId="374A0D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8" w:hRule="atLeast"/>
          <w:jc w:val="center"/>
        </w:trPr>
        <w:tc>
          <w:tcPr>
            <w:tcW w:w="561" w:type="dxa"/>
            <w:tcBorders>
              <w:top w:val="single" w:color="000000" w:sz="6" w:space="0"/>
              <w:left w:val="single" w:color="000000" w:sz="6" w:space="0"/>
              <w:bottom w:val="single" w:color="000000" w:sz="6" w:space="0"/>
              <w:right w:val="single" w:color="000000" w:sz="6" w:space="0"/>
            </w:tcBorders>
            <w:vAlign w:val="center"/>
          </w:tcPr>
          <w:p w14:paraId="5A9EB7E8">
            <w:pPr>
              <w:ind w:left="29"/>
              <w:jc w:val="center"/>
              <w:rPr>
                <w:rFonts w:ascii="仿宋" w:hAnsi="仿宋" w:eastAsia="仿宋" w:cs="仿宋"/>
                <w:szCs w:val="21"/>
              </w:rPr>
            </w:pPr>
            <w:r>
              <w:rPr>
                <w:rFonts w:hint="eastAsia" w:ascii="仿宋" w:hAnsi="仿宋" w:eastAsia="仿宋" w:cs="仿宋"/>
                <w:szCs w:val="21"/>
              </w:rPr>
              <w:t>C</w:t>
            </w:r>
          </w:p>
        </w:tc>
        <w:tc>
          <w:tcPr>
            <w:tcW w:w="1794" w:type="dxa"/>
            <w:tcBorders>
              <w:top w:val="single" w:color="000000" w:sz="6" w:space="0"/>
              <w:left w:val="single" w:color="000000" w:sz="6" w:space="0"/>
              <w:bottom w:val="single" w:color="000000" w:sz="6" w:space="0"/>
              <w:right w:val="single" w:color="000000" w:sz="6" w:space="0"/>
            </w:tcBorders>
            <w:vAlign w:val="center"/>
          </w:tcPr>
          <w:p w14:paraId="160238AB">
            <w:pPr>
              <w:ind w:left="178"/>
              <w:jc w:val="center"/>
              <w:rPr>
                <w:rFonts w:ascii="仿宋" w:hAnsi="仿宋" w:eastAsia="仿宋" w:cs="仿宋"/>
                <w:szCs w:val="21"/>
              </w:rPr>
            </w:pPr>
            <w:r>
              <w:rPr>
                <w:rFonts w:hint="eastAsia" w:ascii="仿宋" w:hAnsi="仿宋" w:eastAsia="仿宋" w:cs="仿宋"/>
                <w:spacing w:val="-2"/>
                <w:szCs w:val="21"/>
              </w:rPr>
              <w:t>15.1.1-19.12.31</w:t>
            </w:r>
          </w:p>
        </w:tc>
        <w:tc>
          <w:tcPr>
            <w:tcW w:w="744" w:type="dxa"/>
            <w:tcBorders>
              <w:top w:val="single" w:color="000000" w:sz="6" w:space="0"/>
              <w:left w:val="single" w:color="000000" w:sz="6" w:space="0"/>
              <w:bottom w:val="single" w:color="000000" w:sz="6" w:space="0"/>
              <w:right w:val="single" w:color="000000" w:sz="6" w:space="0"/>
            </w:tcBorders>
            <w:vAlign w:val="center"/>
          </w:tcPr>
          <w:p w14:paraId="6E44B57C">
            <w:pPr>
              <w:spacing w:before="58" w:line="183" w:lineRule="auto"/>
              <w:ind w:left="21" w:leftChars="10"/>
              <w:jc w:val="center"/>
              <w:rPr>
                <w:rFonts w:ascii="仿宋" w:hAnsi="仿宋" w:eastAsia="仿宋" w:cs="仿宋"/>
                <w:szCs w:val="21"/>
              </w:rPr>
            </w:pPr>
            <w:r>
              <w:rPr>
                <w:rFonts w:hint="eastAsia" w:ascii="仿宋" w:hAnsi="仿宋" w:eastAsia="仿宋" w:cs="仿宋"/>
                <w:szCs w:val="21"/>
              </w:rPr>
              <w:t>4</w:t>
            </w:r>
          </w:p>
        </w:tc>
        <w:tc>
          <w:tcPr>
            <w:tcW w:w="5306" w:type="dxa"/>
            <w:gridSpan w:val="2"/>
            <w:tcBorders>
              <w:top w:val="single" w:color="000000" w:sz="6" w:space="0"/>
              <w:left w:val="single" w:color="000000" w:sz="6" w:space="0"/>
              <w:bottom w:val="single" w:color="000000" w:sz="6" w:space="0"/>
              <w:right w:val="single" w:color="000000" w:sz="6" w:space="0"/>
            </w:tcBorders>
            <w:vAlign w:val="center"/>
          </w:tcPr>
          <w:p w14:paraId="5CF34D2E">
            <w:pPr>
              <w:ind w:left="523" w:leftChars="35" w:right="48" w:hanging="450"/>
              <w:jc w:val="left"/>
              <w:rPr>
                <w:rFonts w:ascii="仿宋" w:hAnsi="仿宋" w:eastAsia="仿宋" w:cs="仿宋"/>
                <w:szCs w:val="21"/>
              </w:rPr>
            </w:pPr>
            <w:r>
              <w:rPr>
                <w:rFonts w:hint="eastAsia" w:ascii="仿宋" w:hAnsi="仿宋" w:eastAsia="仿宋" w:cs="仿宋"/>
                <w:szCs w:val="21"/>
              </w:rPr>
              <w:t>盛装舞步初一级科目个人赛</w:t>
            </w:r>
          </w:p>
          <w:p w14:paraId="7CE4D6B7">
            <w:pPr>
              <w:ind w:left="523" w:leftChars="35" w:right="48" w:hanging="450"/>
              <w:jc w:val="left"/>
              <w:rPr>
                <w:rFonts w:ascii="仿宋" w:hAnsi="仿宋" w:eastAsia="仿宋" w:cs="仿宋"/>
                <w:szCs w:val="21"/>
              </w:rPr>
            </w:pPr>
            <w:r>
              <w:rPr>
                <w:rFonts w:hint="eastAsia" w:ascii="仿宋" w:hAnsi="仿宋" w:eastAsia="仿宋" w:cs="仿宋"/>
                <w:szCs w:val="21"/>
              </w:rPr>
              <w:t>盛装舞步中三级科目个人赛</w:t>
            </w:r>
          </w:p>
          <w:p w14:paraId="720E3818">
            <w:pPr>
              <w:ind w:left="523" w:leftChars="35" w:right="48" w:hanging="450"/>
              <w:jc w:val="left"/>
              <w:rPr>
                <w:rFonts w:ascii="仿宋" w:hAnsi="仿宋" w:eastAsia="仿宋" w:cs="仿宋"/>
                <w:szCs w:val="21"/>
              </w:rPr>
            </w:pPr>
            <w:r>
              <w:rPr>
                <w:rFonts w:hint="eastAsia" w:ascii="仿宋" w:hAnsi="仿宋" w:eastAsia="仿宋" w:cs="仿宋"/>
                <w:szCs w:val="21"/>
              </w:rPr>
              <w:t>场地基础赛个人赛</w:t>
            </w:r>
          </w:p>
          <w:p w14:paraId="268AD640">
            <w:pPr>
              <w:ind w:left="523" w:leftChars="35" w:right="48" w:hanging="450"/>
              <w:jc w:val="left"/>
              <w:rPr>
                <w:rFonts w:ascii="仿宋" w:hAnsi="仿宋" w:eastAsia="仿宋" w:cs="仿宋"/>
                <w:szCs w:val="21"/>
              </w:rPr>
            </w:pPr>
            <w:r>
              <w:rPr>
                <w:rFonts w:hint="eastAsia" w:ascii="仿宋" w:hAnsi="仿宋" w:eastAsia="仿宋" w:cs="仿宋"/>
                <w:szCs w:val="21"/>
              </w:rPr>
              <w:t>场地障碍50-60厘米个人赛</w:t>
            </w:r>
          </w:p>
        </w:tc>
      </w:tr>
    </w:tbl>
    <w:p w14:paraId="2EF590F7">
      <w:pPr>
        <w:adjustRightInd w:val="0"/>
        <w:snapToGrid w:val="0"/>
        <w:spacing w:line="480" w:lineRule="exact"/>
        <w:ind w:firstLine="562" w:firstLineChars="200"/>
        <w:rPr>
          <w:rFonts w:ascii="仿宋" w:hAnsi="仿宋" w:eastAsia="仿宋" w:cs="仿宋"/>
          <w:b/>
          <w:sz w:val="28"/>
          <w:szCs w:val="28"/>
        </w:rPr>
      </w:pPr>
      <w:r>
        <w:rPr>
          <w:rFonts w:hint="eastAsia" w:ascii="仿宋" w:hAnsi="仿宋" w:eastAsia="仿宋" w:cs="仿宋"/>
          <w:b/>
          <w:sz w:val="28"/>
          <w:szCs w:val="28"/>
        </w:rPr>
        <w:t>六、年龄组别和小项设置</w:t>
      </w:r>
    </w:p>
    <w:p w14:paraId="7DD2C435">
      <w:pPr>
        <w:adjustRightInd w:val="0"/>
        <w:snapToGrid w:val="0"/>
        <w:spacing w:line="480" w:lineRule="exact"/>
        <w:ind w:firstLine="562" w:firstLineChars="200"/>
        <w:rPr>
          <w:rFonts w:ascii="仿宋" w:hAnsi="仿宋" w:eastAsia="仿宋" w:cs="仿宋"/>
          <w:b/>
          <w:sz w:val="28"/>
          <w:szCs w:val="28"/>
        </w:rPr>
      </w:pPr>
      <w:r>
        <w:rPr>
          <w:rFonts w:hint="eastAsia" w:ascii="仿宋" w:hAnsi="仿宋" w:eastAsia="仿宋" w:cs="仿宋"/>
          <w:b/>
          <w:sz w:val="28"/>
          <w:szCs w:val="28"/>
        </w:rPr>
        <w:t>七、参赛资格</w:t>
      </w:r>
    </w:p>
    <w:p w14:paraId="19BE1C2B">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2D4B5B4A">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3EF9EC2A">
      <w:pPr>
        <w:spacing w:line="48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14E5EFA3">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（四）除C组参赛运动员外，A、B组参赛运动员须达到2026年上海市马术二线体能测试赛准入标准分（24分），方可参赛。</w:t>
      </w:r>
    </w:p>
    <w:p w14:paraId="5426F4AA">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584FD4A">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09F5F06E">
      <w:pPr>
        <w:numPr>
          <w:ilvl w:val="255"/>
          <w:numId w:val="0"/>
        </w:numPr>
        <w:spacing w:line="48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3B1558D8">
      <w:pPr>
        <w:numPr>
          <w:ilvl w:val="255"/>
          <w:numId w:val="0"/>
        </w:numPr>
        <w:spacing w:line="48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3CFE28BE">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（九）本届市运会教练员须是2026年在本市有效注册的青训教练员，方可报名参赛。</w:t>
      </w:r>
    </w:p>
    <w:p w14:paraId="7D6DC56E">
      <w:pPr>
        <w:adjustRightInd w:val="0"/>
        <w:snapToGrid w:val="0"/>
        <w:spacing w:line="480" w:lineRule="exact"/>
        <w:ind w:firstLine="562" w:firstLineChars="200"/>
        <w:rPr>
          <w:rFonts w:ascii="仿宋" w:hAnsi="仿宋" w:eastAsia="仿宋" w:cs="仿宋"/>
          <w:b/>
          <w:sz w:val="28"/>
          <w:szCs w:val="28"/>
        </w:rPr>
      </w:pPr>
      <w:r>
        <w:rPr>
          <w:rFonts w:hint="eastAsia" w:ascii="仿宋" w:hAnsi="仿宋" w:eastAsia="仿宋" w:cs="仿宋"/>
          <w:b/>
          <w:sz w:val="28"/>
          <w:szCs w:val="28"/>
        </w:rPr>
        <w:t>八、参加办法</w:t>
      </w:r>
    </w:p>
    <w:p w14:paraId="773C06F1">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（一）各区可报领队1名、教练员</w:t>
      </w:r>
      <w:r>
        <w:rPr>
          <w:rFonts w:hint="eastAsia" w:ascii="仿宋" w:hAnsi="仿宋" w:eastAsia="仿宋" w:cs="仿宋"/>
          <w:sz w:val="28"/>
          <w:szCs w:val="28"/>
          <w:lang w:val="en-US" w:eastAsia="zh-CN"/>
        </w:rPr>
        <w:t>1-10名</w:t>
      </w:r>
      <w:r>
        <w:rPr>
          <w:rFonts w:hint="eastAsia" w:ascii="仿宋" w:hAnsi="仿宋" w:eastAsia="仿宋" w:cs="仿宋"/>
          <w:sz w:val="28"/>
          <w:szCs w:val="28"/>
        </w:rPr>
        <w:t>。</w:t>
      </w:r>
    </w:p>
    <w:p w14:paraId="54E340AA">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个人赛：不限运动员数量。</w:t>
      </w:r>
    </w:p>
    <w:p w14:paraId="2D349000">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两项赛（50-60厘米&amp;80-90厘米）（团体赛）：各区团体赛报名队数不限，每队可报4-6个人马组合，其中50-60厘米、80-90厘米等2个级别分别可报2-3个人马组合。</w:t>
      </w:r>
    </w:p>
    <w:p w14:paraId="54852C76">
      <w:pPr>
        <w:adjustRightInd w:val="0"/>
        <w:snapToGrid w:val="0"/>
        <w:spacing w:line="480" w:lineRule="exact"/>
        <w:ind w:firstLine="560" w:firstLineChars="200"/>
        <w:rPr>
          <w:rFonts w:ascii="仿宋" w:hAnsi="仿宋" w:eastAsia="仿宋" w:cs="仿宋"/>
          <w:b/>
          <w:sz w:val="28"/>
          <w:szCs w:val="28"/>
        </w:rPr>
      </w:pPr>
      <w:r>
        <w:rPr>
          <w:rFonts w:hint="eastAsia" w:ascii="仿宋" w:hAnsi="仿宋" w:eastAsia="仿宋" w:cs="仿宋"/>
          <w:sz w:val="28"/>
          <w:szCs w:val="28"/>
        </w:rPr>
        <w:t>（二）交流运动员报名人数不超过该组别实际报名人数30%（按四舍五入计）。</w:t>
      </w:r>
    </w:p>
    <w:p w14:paraId="14078A41">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（三）参加“两项赛（1.05-1.10米&amp;中二级科目）个人”的运动员不得兼项参加“场地障碍1.05-1.10米个人赛”及“中国马术协会盛装舞步中二级科目个人赛”。</w:t>
      </w:r>
    </w:p>
    <w:p w14:paraId="004F9BDC">
      <w:pPr>
        <w:spacing w:line="480" w:lineRule="exact"/>
        <w:ind w:firstLine="560" w:firstLineChars="200"/>
        <w:rPr>
          <w:rFonts w:ascii="仿宋" w:hAnsi="仿宋" w:eastAsia="仿宋" w:cs="仿宋"/>
          <w:bCs/>
          <w:sz w:val="28"/>
          <w:szCs w:val="28"/>
        </w:rPr>
      </w:pPr>
      <w:r>
        <w:rPr>
          <w:rFonts w:hint="eastAsia" w:ascii="仿宋" w:hAnsi="仿宋" w:eastAsia="仿宋" w:cs="仿宋"/>
          <w:sz w:val="28"/>
          <w:szCs w:val="28"/>
        </w:rPr>
        <w:t>（四）比赛</w:t>
      </w:r>
      <w:r>
        <w:rPr>
          <w:rFonts w:hint="eastAsia" w:ascii="仿宋" w:hAnsi="仿宋" w:eastAsia="仿宋" w:cs="仿宋"/>
          <w:bCs/>
          <w:sz w:val="28"/>
          <w:szCs w:val="28"/>
        </w:rPr>
        <w:t>允许同一参赛运动员骑乘同一马匹参加两个相邻级别比赛项目，不同人马组合不受相邻级别的限制。</w:t>
      </w:r>
    </w:p>
    <w:p w14:paraId="091AFBE6">
      <w:pPr>
        <w:spacing w:line="480" w:lineRule="exact"/>
        <w:ind w:firstLine="560" w:firstLineChars="200"/>
        <w:rPr>
          <w:rFonts w:ascii="仿宋" w:hAnsi="仿宋" w:eastAsia="仿宋" w:cs="仿宋"/>
          <w:bCs/>
          <w:sz w:val="28"/>
          <w:szCs w:val="28"/>
        </w:rPr>
      </w:pPr>
      <w:r>
        <w:rPr>
          <w:rFonts w:hint="eastAsia" w:ascii="仿宋" w:hAnsi="仿宋" w:eastAsia="仿宋" w:cs="仿宋"/>
          <w:sz w:val="28"/>
          <w:szCs w:val="28"/>
        </w:rPr>
        <w:t>（五）比赛允许同一参赛运动员骑乘两匹马参加同一级别比赛，取较好成绩进入获奖名次。</w:t>
      </w:r>
    </w:p>
    <w:p w14:paraId="6B3E6A24">
      <w:pPr>
        <w:spacing w:line="480" w:lineRule="exact"/>
        <w:ind w:firstLine="560" w:firstLineChars="200"/>
        <w:rPr>
          <w:rFonts w:ascii="仿宋" w:hAnsi="仿宋" w:eastAsia="仿宋" w:cs="仿宋"/>
          <w:strike/>
          <w:sz w:val="28"/>
          <w:szCs w:val="28"/>
        </w:rPr>
      </w:pPr>
      <w:r>
        <w:rPr>
          <w:rFonts w:hint="eastAsia" w:ascii="仿宋" w:hAnsi="仿宋" w:eastAsia="仿宋" w:cs="仿宋"/>
          <w:sz w:val="28"/>
          <w:szCs w:val="28"/>
        </w:rPr>
        <w:t>（六）马匹相关规定</w:t>
      </w:r>
    </w:p>
    <w:p w14:paraId="547AC926">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1.马匹骑乘规定</w:t>
      </w:r>
    </w:p>
    <w:p w14:paraId="05839EE2">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在场地基础赛、50-60厘米场地障碍赛比赛中，同一匹马可最多由三名运动员骑乘参赛。</w:t>
      </w:r>
    </w:p>
    <w:p w14:paraId="2573030B">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在80-90厘米场地障碍赛、1.05-1.10米级别场地障碍赛、1.15-1.20米级别场地障碍赛比赛中，同一匹马可最多由两名运动员骑乘参赛。</w:t>
      </w:r>
    </w:p>
    <w:p w14:paraId="484886A7">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在1.25-1.30米级别场地障碍赛比赛、两项赛（50-60厘米&amp;80-90厘米）（团体赛）中，同一匹马只允许由一名运动员骑乘参赛。</w:t>
      </w:r>
    </w:p>
    <w:p w14:paraId="21627D5A">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在两项赛（1.05-1.10米&amp;中二级科目）比赛中，必须使用同一匹马。</w:t>
      </w:r>
    </w:p>
    <w:p w14:paraId="5A6FA083">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在盛装舞步各级别比赛中，同一匹马可最多由两名运动员骑乘参赛。</w:t>
      </w:r>
    </w:p>
    <w:p w14:paraId="076DB1FC">
      <w:pPr>
        <w:numPr>
          <w:ilvl w:val="0"/>
          <w:numId w:val="1"/>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如有违反上述规定，取消该马匹和其骑乘运动员在本次比赛该参赛项目取得的比赛成绩。</w:t>
      </w:r>
    </w:p>
    <w:p w14:paraId="1651D5B5">
      <w:pPr>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2.马匹出场规定</w:t>
      </w:r>
    </w:p>
    <w:p w14:paraId="5C804D54">
      <w:pPr>
        <w:spacing w:line="480" w:lineRule="exact"/>
        <w:ind w:firstLine="560" w:firstLineChars="200"/>
        <w:rPr>
          <w:rFonts w:ascii="仿宋" w:hAnsi="仿宋" w:eastAsia="仿宋" w:cs="仿宋"/>
          <w:sz w:val="28"/>
          <w:szCs w:val="28"/>
        </w:rPr>
      </w:pPr>
      <w:r>
        <w:rPr>
          <w:rFonts w:hint="eastAsia" w:ascii="仿宋" w:hAnsi="仿宋" w:eastAsia="仿宋" w:cs="仿宋"/>
          <w:bCs/>
          <w:sz w:val="28"/>
          <w:szCs w:val="28"/>
        </w:rPr>
        <w:t>场地障碍每个比赛日最多允许同一马匹出场4次；盛装舞步每个比赛日最多允许同一马匹出场2次。</w:t>
      </w:r>
    </w:p>
    <w:p w14:paraId="412381C8">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3.马匹参赛资格</w:t>
      </w:r>
    </w:p>
    <w:p w14:paraId="0A36AF93">
      <w:pPr>
        <w:numPr>
          <w:ilvl w:val="0"/>
          <w:numId w:val="2"/>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参赛运动员自带马匹参赛。参赛马匹须有国际马术联合会颁发的马匹护照(含FEI ID号)或中国马术协会护照或上海市马术协会颁发的马匹注册证。</w:t>
      </w:r>
    </w:p>
    <w:p w14:paraId="6EFA4CAD">
      <w:pPr>
        <w:numPr>
          <w:ilvl w:val="0"/>
          <w:numId w:val="2"/>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场地基础赛、50-60厘米、80-90厘米级别参赛马匹年龄须为5岁及以上（2021年及以前出生）；1.05-1.10米、1.15-1.20米、1.25-1.30米级别、盛装舞步各级别参赛马匹年龄须为6岁及以上（2020年及以前出生）。</w:t>
      </w:r>
    </w:p>
    <w:p w14:paraId="135C847B">
      <w:pPr>
        <w:numPr>
          <w:ilvl w:val="0"/>
          <w:numId w:val="2"/>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未参加验马的马匹不得参加比赛。</w:t>
      </w:r>
    </w:p>
    <w:p w14:paraId="5F53316F">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4.参赛马匹赴赛区前须办理相关检疫手续，并由所在区级兽医站出具检疫合格证明，随马匹到赛区时递交承办单位。返程需重开检疫证。</w:t>
      </w:r>
    </w:p>
    <w:p w14:paraId="159C457F">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（七）参赛运动员须持有能承担本次比赛意外的保险。比赛中一旦出现参赛运动员或参赛马匹重大意外伤害事故，竞委会将采取相应急救措施，</w:t>
      </w:r>
      <w:r>
        <w:rPr>
          <w:rFonts w:hint="eastAsia" w:ascii="仿宋" w:hAnsi="仿宋" w:eastAsia="仿宋" w:cs="仿宋"/>
          <w:sz w:val="28"/>
          <w:szCs w:val="28"/>
          <w:lang w:eastAsia="zh-CN"/>
        </w:rPr>
        <w:t>主办单位和承办单位均不承担任何责任</w:t>
      </w:r>
      <w:r>
        <w:rPr>
          <w:rFonts w:hint="eastAsia" w:ascii="仿宋" w:hAnsi="仿宋" w:eastAsia="仿宋" w:cs="仿宋"/>
          <w:sz w:val="28"/>
          <w:szCs w:val="28"/>
        </w:rPr>
        <w:t>。逾期不交保险，经竞委会资格审查组认定不合格者，则视为弃权。</w:t>
      </w:r>
    </w:p>
    <w:p w14:paraId="2722C845">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八）参赛单位通过大会指定的网站www.aijingsai.cn（上海青少年体育赛事网）进行网上报名，并在规定时间内将导出打印的报名表加盖公章后，一式两份报大会组委会竞赛部（地址：徐汇区零陵路800号8楼，竞赛部，31211118）。</w:t>
      </w:r>
    </w:p>
    <w:p w14:paraId="7C69BC34">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（九）抽签与领队教练联席会议由竞委会另行通知。</w:t>
      </w:r>
    </w:p>
    <w:p w14:paraId="7F661F7B">
      <w:pPr>
        <w:adjustRightInd w:val="0"/>
        <w:snapToGrid w:val="0"/>
        <w:spacing w:line="480" w:lineRule="exact"/>
        <w:ind w:firstLine="562" w:firstLineChars="200"/>
        <w:rPr>
          <w:rFonts w:ascii="仿宋" w:hAnsi="仿宋" w:eastAsia="仿宋" w:cs="仿宋"/>
          <w:b/>
          <w:sz w:val="28"/>
          <w:szCs w:val="28"/>
        </w:rPr>
      </w:pPr>
      <w:r>
        <w:rPr>
          <w:rFonts w:hint="eastAsia" w:ascii="仿宋" w:hAnsi="仿宋" w:eastAsia="仿宋" w:cs="仿宋"/>
          <w:b/>
          <w:sz w:val="28"/>
          <w:szCs w:val="28"/>
        </w:rPr>
        <w:t>九、竞赛办法</w:t>
      </w:r>
    </w:p>
    <w:p w14:paraId="0BD2B6FC">
      <w:pPr>
        <w:adjustRightInd w:val="0"/>
        <w:snapToGrid w:val="0"/>
        <w:spacing w:line="480" w:lineRule="exact"/>
        <w:ind w:firstLine="641" w:firstLineChars="228"/>
        <w:rPr>
          <w:rFonts w:ascii="仿宋" w:hAnsi="仿宋" w:eastAsia="仿宋" w:cs="仿宋"/>
          <w:b/>
          <w:bCs/>
          <w:sz w:val="28"/>
          <w:szCs w:val="28"/>
        </w:rPr>
      </w:pPr>
      <w:r>
        <w:rPr>
          <w:rFonts w:hint="eastAsia" w:ascii="仿宋" w:hAnsi="仿宋" w:eastAsia="仿宋" w:cs="仿宋"/>
          <w:b/>
          <w:bCs/>
          <w:sz w:val="28"/>
          <w:szCs w:val="28"/>
        </w:rPr>
        <w:t>（一）场地障碍：</w:t>
      </w:r>
    </w:p>
    <w:p w14:paraId="2DC29A6B">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比赛采用国际马联2025年1月1日颁布的第27版场地障碍竞赛规则。特殊修订条款的执行，以上海市马术协会下发通知为准。</w:t>
      </w:r>
    </w:p>
    <w:p w14:paraId="1DAACF8B">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1.场地基础赛</w:t>
      </w:r>
    </w:p>
    <w:p w14:paraId="3CE8C4B7">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场地基础赛</w:t>
      </w:r>
      <w:r>
        <w:rPr>
          <w:rStyle w:val="12"/>
          <w:rFonts w:hint="eastAsia" w:ascii="仿宋" w:hAnsi="仿宋" w:eastAsia="仿宋" w:cs="仿宋"/>
          <w:b w:val="0"/>
          <w:bCs/>
          <w:spacing w:val="8"/>
          <w:sz w:val="28"/>
          <w:szCs w:val="28"/>
          <w:shd w:val="clear" w:color="auto" w:fill="FFFFFF"/>
        </w:rPr>
        <w:t>为评分赛</w:t>
      </w:r>
      <w:r>
        <w:rPr>
          <w:rFonts w:hint="eastAsia" w:ascii="仿宋" w:hAnsi="仿宋" w:eastAsia="仿宋" w:cs="仿宋"/>
          <w:sz w:val="28"/>
          <w:szCs w:val="28"/>
        </w:rPr>
        <w:t>，比赛以一轮进行，设8至10道障碍。</w:t>
      </w:r>
    </w:p>
    <w:p w14:paraId="48CF6351">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比赛以裁判员对人马组合跳跃障碍路线上的表现及规定动作的评分之和，百分比得分最高者获胜，如有并列，骑手分高者，名次列前。马匹第三次不服从淘汰。</w:t>
      </w:r>
    </w:p>
    <w:p w14:paraId="5721F52A">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2.场地障碍50-60厘米</w:t>
      </w:r>
    </w:p>
    <w:p w14:paraId="4CC724D3">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场地障碍50-60厘米为双边贴时赛，比赛以一轮进行，障碍高度为50-60厘米，设8-10道障碍，行进速度为325米/分钟。</w:t>
      </w:r>
    </w:p>
    <w:p w14:paraId="0EDC80F5">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比赛以罚分少者获胜，如罚分相同，更接近最佳时间（双边贴时）者，名次列前。</w:t>
      </w:r>
    </w:p>
    <w:p w14:paraId="3C4BE35D">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3.场地障碍1.05-1.10米</w:t>
      </w:r>
    </w:p>
    <w:p w14:paraId="465E2EA4">
      <w:pPr>
        <w:pStyle w:val="19"/>
        <w:spacing w:line="480" w:lineRule="exact"/>
        <w:ind w:firstLine="560"/>
        <w:rPr>
          <w:rFonts w:ascii="仿宋" w:hAnsi="仿宋" w:eastAsia="仿宋" w:cs="仿宋"/>
          <w:sz w:val="28"/>
          <w:szCs w:val="28"/>
        </w:rPr>
      </w:pPr>
      <w:r>
        <w:rPr>
          <w:rFonts w:hint="eastAsia" w:ascii="仿宋" w:hAnsi="仿宋" w:eastAsia="仿宋" w:cs="仿宋"/>
          <w:sz w:val="28"/>
          <w:szCs w:val="28"/>
        </w:rPr>
        <w:t>场地障碍1.05-1.10米级别为区间争时赛，比赛以一轮进行，采用A表判罚。障碍高度为1.05-1.10米，设10-12道障碍，行进速度为350米/分钟。骑手需在规定的时间区间内完成比赛路线。用时在该区间内的骑手，将以罚分最少且用时最少者获胜。</w:t>
      </w:r>
    </w:p>
    <w:p w14:paraId="26302AD6">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4.场地障碍1.15-1.20米</w:t>
      </w:r>
    </w:p>
    <w:p w14:paraId="20E824BE">
      <w:pPr>
        <w:pStyle w:val="19"/>
        <w:spacing w:line="480" w:lineRule="exact"/>
        <w:ind w:firstLine="560"/>
        <w:rPr>
          <w:rFonts w:ascii="仿宋" w:hAnsi="仿宋" w:eastAsia="仿宋" w:cs="仿宋"/>
          <w:sz w:val="28"/>
          <w:szCs w:val="28"/>
        </w:rPr>
      </w:pPr>
      <w:r>
        <w:rPr>
          <w:rFonts w:hint="eastAsia" w:ascii="仿宋" w:hAnsi="仿宋" w:eastAsia="仿宋" w:cs="仿宋"/>
          <w:sz w:val="28"/>
          <w:szCs w:val="28"/>
        </w:rPr>
        <w:t>场地障碍1.15-1.20米级别为争时赛，比赛以一轮进行，根据国际马联场地障碍规则条款238.2.1执行，采用A表判罚。障碍高度为1.15-1.20米，设10-12道障碍，含一道AB组合障碍或两道AB组合障碍，行进速度为350米/分钟。比赛以罚分最少用时最少者获胜。</w:t>
      </w:r>
    </w:p>
    <w:p w14:paraId="04D64E11">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5.场地障碍1.25-1.30米</w:t>
      </w:r>
    </w:p>
    <w:p w14:paraId="2C7D88C4">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场地障碍1.25-1.30米级别为争时赛含附加赛，比赛以一轮进行，根据国际马联场地障碍规则条款238.2.2执行，采用A表判罚。障碍高度为1.25-1.30米，障碍数量共10-12道，行进速度为每分钟350米。比赛以罚分最少用时最少者获胜。第一名成绩相同则进行附加赛，以附加赛罚分最少用时最少者获胜。</w:t>
      </w:r>
    </w:p>
    <w:p w14:paraId="66F48F95">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6.两项赛（50-60厘米&amp;80-90厘米）团体</w:t>
      </w:r>
    </w:p>
    <w:p w14:paraId="4F3532CD">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团体赛将同队</w:t>
      </w:r>
      <w:r>
        <w:rPr>
          <w:rStyle w:val="12"/>
          <w:rFonts w:hint="eastAsia" w:ascii="仿宋" w:hAnsi="仿宋" w:eastAsia="仿宋" w:cs="仿宋"/>
          <w:b w:val="0"/>
          <w:bCs/>
          <w:spacing w:val="8"/>
          <w:sz w:val="28"/>
          <w:szCs w:val="28"/>
          <w:shd w:val="clear" w:color="auto" w:fill="FFFFFF"/>
        </w:rPr>
        <w:t>场地障碍</w:t>
      </w:r>
      <w:r>
        <w:rPr>
          <w:rFonts w:hint="eastAsia" w:ascii="仿宋" w:hAnsi="仿宋" w:eastAsia="仿宋" w:cs="仿宋"/>
          <w:sz w:val="28"/>
          <w:szCs w:val="28"/>
        </w:rPr>
        <w:t>50-60厘米&amp;场地障碍80-90厘米，二个级别前二名人马组合的</w:t>
      </w:r>
      <w:r>
        <w:rPr>
          <w:rStyle w:val="12"/>
          <w:rFonts w:hint="eastAsia" w:ascii="仿宋" w:hAnsi="仿宋" w:eastAsia="仿宋" w:cs="仿宋"/>
          <w:b w:val="0"/>
          <w:bCs/>
          <w:spacing w:val="8"/>
          <w:sz w:val="28"/>
          <w:szCs w:val="28"/>
          <w:shd w:val="clear" w:color="auto" w:fill="FFFFFF"/>
        </w:rPr>
        <w:t>罚分总和进行排名，总罚分少的团体名次列前，如罚分相同，总贴时少的团体名次列前。如依然</w:t>
      </w:r>
      <w:r>
        <w:rPr>
          <w:rFonts w:hint="eastAsia" w:ascii="仿宋" w:hAnsi="仿宋" w:eastAsia="仿宋" w:cs="仿宋"/>
          <w:sz w:val="28"/>
          <w:szCs w:val="28"/>
        </w:rPr>
        <w:t>并列，则依次按各团体50-60厘米居第二名的人马组合罚分及贴时，80-90厘米第二名人马组合罚分少更贴时的团体名次列前。</w:t>
      </w:r>
    </w:p>
    <w:p w14:paraId="46EABCFC">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场地障碍50-60厘米级别为双边贴时赛，</w:t>
      </w:r>
      <w:r>
        <w:rPr>
          <w:rStyle w:val="12"/>
          <w:rFonts w:hint="eastAsia" w:ascii="仿宋" w:hAnsi="仿宋" w:eastAsia="仿宋" w:cs="仿宋"/>
          <w:b w:val="0"/>
          <w:spacing w:val="8"/>
          <w:sz w:val="28"/>
          <w:szCs w:val="28"/>
          <w:shd w:val="clear" w:color="auto" w:fill="FFFFFF"/>
        </w:rPr>
        <w:t>比赛</w:t>
      </w:r>
      <w:r>
        <w:rPr>
          <w:rFonts w:hint="eastAsia" w:ascii="仿宋" w:hAnsi="仿宋" w:eastAsia="仿宋" w:cs="仿宋"/>
          <w:sz w:val="28"/>
          <w:szCs w:val="28"/>
        </w:rPr>
        <w:t>以一轮进行，障碍高度为50-60厘米，障碍数量共8至10道，行进速度为325米/分钟，以罚分少者获胜，如罚分相同，更接近最佳时间（双边贴时）者，名次列前。</w:t>
      </w:r>
    </w:p>
    <w:p w14:paraId="3660F992">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场地障碍80-90厘米级别为单边贴时赛，比赛以一轮进行，根据国际马联场地障碍规则条款269执行，采用A表判罚。障碍高度为80-90厘米，障碍数量共10道，行进速度为350米/每分钟。以罚分少者获胜，如罚分相同，更接近允许时间（单边贴时）者，名次列前。</w:t>
      </w:r>
    </w:p>
    <w:p w14:paraId="415330B4">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7.两项赛（1.05-1.10米&amp;中二级科目）</w:t>
      </w:r>
    </w:p>
    <w:p w14:paraId="2F803AFD">
      <w:pPr>
        <w:widowControl/>
        <w:numPr>
          <w:ilvl w:val="255"/>
          <w:numId w:val="0"/>
        </w:num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比赛以一轮进行，舞步采用中二级科目，场地障碍为1.05-1.10米级别。排名将舞步罚分与障碍罚分相加，总罚分少者名次列前。总罚分相同，以舞步综合分骑手得分高者名次列前。</w:t>
      </w:r>
    </w:p>
    <w:p w14:paraId="6563CE54">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8.装备及器材</w:t>
      </w:r>
    </w:p>
    <w:p w14:paraId="40EF653A">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(1)参赛运动员的着装与马具参照国际马联场地障碍比赛规则（条款256.1、条款257）。</w:t>
      </w:r>
    </w:p>
    <w:p w14:paraId="3B0B2D73">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(2)查看路线时的着装（条款256.1.2）。</w:t>
      </w:r>
    </w:p>
    <w:p w14:paraId="36DB6447">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着装必须整洁，穿马靴、白色或米色马裤、长袖或短袖衬衫、白色领带或领结，衬衫必须有衣领，长袖衬衫必须有袖口。</w:t>
      </w:r>
    </w:p>
    <w:p w14:paraId="19A2C6EB">
      <w:pPr>
        <w:numPr>
          <w:ilvl w:val="255"/>
          <w:numId w:val="0"/>
        </w:num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(3)比赛时着装规定如下（条款256）：</w:t>
      </w:r>
    </w:p>
    <w:p w14:paraId="14B5F805">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◇头盔：必须使用但没有颜色限制；</w:t>
      </w:r>
    </w:p>
    <w:p w14:paraId="23F898B5">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◇骑士服：没有颜色限制或俱乐部统一队服；</w:t>
      </w:r>
    </w:p>
    <w:p w14:paraId="130716C6">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◇马裤：白色或类白色；</w:t>
      </w:r>
    </w:p>
    <w:p w14:paraId="12015431">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◇马靴：黑色或暗色，靴底带跟；</w:t>
      </w:r>
    </w:p>
    <w:p w14:paraId="5807A05C">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◇衬衫：允许长袖或短袖，长袖必须白色袖口；必须白色衣领；</w:t>
      </w:r>
    </w:p>
    <w:p w14:paraId="379FCAFB">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◇领带或领结：白色；</w:t>
      </w:r>
    </w:p>
    <w:p w14:paraId="083AC5B2">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◇马刺：可戴可不戴，马刺必须朝向后方，马刺柄尾端必须光滑，如果马刺柄带有弧度，马刺佩戴时马刺柄必须朝下，不允许使用齿轮马刺，允许使用轮式马刺（马刺轮必须可以转动）；</w:t>
      </w:r>
    </w:p>
    <w:p w14:paraId="51BEEE38">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◇马鞭：不得使用超过75厘米或末端负重的马鞭。</w:t>
      </w:r>
    </w:p>
    <w:p w14:paraId="24C5A8CC">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◇青少年儿童骑手跳跃障碍建议穿防护背心，其中12岁以下骑手在马背上必须全程穿着符合安全标准的防护背心。</w:t>
      </w:r>
    </w:p>
    <w:p w14:paraId="4DE95467">
      <w:pPr>
        <w:adjustRightInd w:val="0"/>
        <w:snapToGrid w:val="0"/>
        <w:spacing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（二）盛装舞步：</w:t>
      </w:r>
    </w:p>
    <w:p w14:paraId="0B57D966">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比赛采用国际马联2025年1月1日更新颁布的第26版盛装舞步竞赛规则。特殊修订条款的执行，以上海市马术协会下发通知为准。</w:t>
      </w:r>
    </w:p>
    <w:p w14:paraId="443BD9B3">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1.盛装舞步各级别科目比赛以一轮进行。个人赛排名以百分比总得分高者名次列前，如百分比总得分相同，则以综合分得分高者列前，若仍相同，则以C点主裁判评分高者列前。</w:t>
      </w:r>
    </w:p>
    <w:p w14:paraId="471B71FB">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2.装备及器材</w:t>
      </w:r>
    </w:p>
    <w:p w14:paraId="02F08EBE">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盛装舞步参赛运动员着装与马具参照国际马联盛装舞步比赛规则（条款431、434）</w:t>
      </w:r>
    </w:p>
    <w:p w14:paraId="61A0B95B">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（1）骑士服: 必须单色；B、C组只允许骑士服，A组允许骑士服或燕尾服；</w:t>
      </w:r>
    </w:p>
    <w:p w14:paraId="6DF3C9F3">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（2）头盔: 必须佩戴头盔，黑色或暗色；</w:t>
      </w:r>
    </w:p>
    <w:p w14:paraId="3C9763B7">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（3）马裤:白色或类白色;</w:t>
      </w:r>
    </w:p>
    <w:p w14:paraId="16D947D0">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（4）领巾或领带: 白色或类白色;</w:t>
      </w:r>
    </w:p>
    <w:p w14:paraId="28A4B25B">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（5）手套: 白色、米色或与骑士服同色;</w:t>
      </w:r>
    </w:p>
    <w:p w14:paraId="515B24F3">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（6）马靴: 黑色或暗色;</w:t>
      </w:r>
    </w:p>
    <w:p w14:paraId="30A55A97">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（7）马刺: 可戴可不戴。如果使用马刺，材料必须为金属。马刺可以是弯柄或者直柄，当选手穿 上马靴时，马刺柄的方向直接从中间向后伸出。马刺臂应钝感或光滑的（不允许有尖锐边缘），如马刺为轮形马刺，轮形马刺必须光滑圆润（没有尖锐边缘）并能转动。允许塑料圆头的金属马刺（“圆冲”马刺）。允许没有柄的“圆钉”马刺。圆头可以转动。</w:t>
      </w:r>
    </w:p>
    <w:p w14:paraId="5291244D">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（8）马鞭：比赛场地不得使用任何马鞭，热身场可以使用但长度不超过1.20米；</w:t>
      </w:r>
    </w:p>
    <w:p w14:paraId="252A88D3">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（9）马鞍：舞步鞍或综合鞍，鞍垫必须为白色；</w:t>
      </w:r>
    </w:p>
    <w:p w14:paraId="6BCFBAE0">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（10）衔铁：初三、初二、初一、中三、中二、国际马联Ch12-14科目只允许使用小勒单缰；其他科目允许小勒单缰或大勒双缰，不允许使用无衔铁水勒或盖革衔铁；</w:t>
      </w:r>
    </w:p>
    <w:p w14:paraId="1B41145F">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（11）耳罩：允许使用，但是耳罩不可遮挡马眼，耳塞不可使用。耳罩的颜色和款式的选用必须谨慎；</w:t>
      </w:r>
    </w:p>
    <w:p w14:paraId="2AB730B1">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（12）配件：严禁使用任何种类的配件(例如抬头缰、侧缰、折返缰、平衡缰)</w:t>
      </w:r>
    </w:p>
    <w:p w14:paraId="50D3C846">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（13）眼罩：严禁使用任何形式的眼罩。</w:t>
      </w:r>
    </w:p>
    <w:p w14:paraId="67B6F454">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（14）建议C组骑手穿防护背心。</w:t>
      </w:r>
    </w:p>
    <w:p w14:paraId="70C81E9E">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（三）各项目竞赛小项参赛人（队）数少于2个参赛单位3人（队），均不安排比赛。</w:t>
      </w:r>
    </w:p>
    <w:p w14:paraId="484B8703">
      <w:pPr>
        <w:adjustRightInd w:val="0"/>
        <w:snapToGrid w:val="0"/>
        <w:spacing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十、录取名次、计牌计分和奖励办法</w:t>
      </w:r>
    </w:p>
    <w:p w14:paraId="1487626C">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录取前八名，不足8队参赛的，则按实际参赛队数录取名次。</w:t>
      </w:r>
    </w:p>
    <w:p w14:paraId="28D78507">
      <w:pPr>
        <w:widowControl/>
        <w:spacing w:line="480" w:lineRule="exact"/>
        <w:ind w:firstLine="562"/>
        <w:jc w:val="left"/>
        <w:rPr>
          <w:rFonts w:ascii="仿宋" w:hAnsi="仿宋" w:eastAsia="仿宋" w:cs="仿宋"/>
          <w:bCs/>
          <w:sz w:val="28"/>
          <w:szCs w:val="28"/>
        </w:rPr>
      </w:pPr>
      <w:r>
        <w:rPr>
          <w:rFonts w:hint="eastAsia" w:ascii="仿宋" w:hAnsi="仿宋" w:eastAsia="仿宋" w:cs="仿宋"/>
          <w:sz w:val="28"/>
          <w:szCs w:val="28"/>
        </w:rPr>
        <w:t>（二）</w:t>
      </w:r>
      <w:r>
        <w:rPr>
          <w:rFonts w:hint="eastAsia" w:ascii="仿宋" w:hAnsi="仿宋" w:eastAsia="仿宋" w:cs="仿宋"/>
          <w:bCs/>
          <w:kern w:val="0"/>
          <w:sz w:val="28"/>
          <w:szCs w:val="28"/>
        </w:rPr>
        <w:t>各组别各小项前三名依次按1金、1银、1铜计牌，前八名依次按 11、9、8、7、6、5、4、3 计分，统计各代表团团体奖牌和团体总分。</w:t>
      </w:r>
    </w:p>
    <w:p w14:paraId="6F17356E">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6869BFA2">
      <w:pPr>
        <w:adjustRightInd w:val="0"/>
        <w:snapToGrid w:val="0"/>
        <w:spacing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十一、申诉和纪律</w:t>
      </w:r>
    </w:p>
    <w:p w14:paraId="3BE9A1AA">
      <w:pPr>
        <w:adjustRightInd w:val="0"/>
        <w:snapToGrid w:val="0"/>
        <w:spacing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（一）申诉</w:t>
      </w:r>
    </w:p>
    <w:p w14:paraId="0CEBBB3F">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申诉按照中国马术协会有关规定执行。</w:t>
      </w:r>
    </w:p>
    <w:p w14:paraId="4A7B141D">
      <w:pPr>
        <w:adjustRightInd w:val="0"/>
        <w:snapToGrid w:val="0"/>
        <w:spacing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（二）纪律</w:t>
      </w:r>
    </w:p>
    <w:p w14:paraId="6EBF6729">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 禁止使用违禁药物，违者按国家有关法律法规处理。</w:t>
      </w:r>
    </w:p>
    <w:p w14:paraId="3FE58CCD">
      <w:pPr>
        <w:adjustRightInd w:val="0"/>
        <w:snapToGrid w:val="0"/>
        <w:spacing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 十二、技术官员</w:t>
      </w:r>
    </w:p>
    <w:p w14:paraId="0804D230">
      <w:pPr>
        <w:adjustRightInd w:val="0"/>
        <w:snapToGrid w:val="0"/>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3C00350F">
      <w:pPr>
        <w:adjustRightInd w:val="0"/>
        <w:snapToGrid w:val="0"/>
        <w:spacing w:line="480" w:lineRule="exact"/>
        <w:ind w:firstLine="562" w:firstLineChars="200"/>
        <w:rPr>
          <w:rFonts w:ascii="仿宋" w:hAnsi="仿宋" w:eastAsia="仿宋" w:cs="仿宋"/>
          <w:b/>
          <w:sz w:val="28"/>
          <w:szCs w:val="28"/>
        </w:rPr>
      </w:pPr>
      <w:r>
        <w:rPr>
          <w:rFonts w:hint="eastAsia" w:ascii="仿宋" w:hAnsi="仿宋" w:eastAsia="仿宋" w:cs="仿宋"/>
          <w:b/>
          <w:sz w:val="28"/>
          <w:szCs w:val="28"/>
        </w:rPr>
        <w:t>十三、运动员技术等级授予</w:t>
      </w:r>
    </w:p>
    <w:p w14:paraId="6F004E13">
      <w:pPr>
        <w:adjustRightInd w:val="0"/>
        <w:snapToGrid w:val="0"/>
        <w:spacing w:line="480" w:lineRule="exact"/>
        <w:ind w:firstLine="560" w:firstLineChars="200"/>
        <w:rPr>
          <w:rFonts w:ascii="仿宋" w:hAnsi="仿宋" w:eastAsia="仿宋" w:cs="仿宋"/>
          <w:b/>
          <w:sz w:val="28"/>
          <w:szCs w:val="28"/>
        </w:rPr>
      </w:pPr>
      <w:r>
        <w:rPr>
          <w:rFonts w:hint="eastAsia" w:ascii="仿宋" w:hAnsi="仿宋" w:eastAsia="仿宋" w:cs="仿宋"/>
          <w:bCs/>
          <w:sz w:val="28"/>
          <w:szCs w:val="28"/>
        </w:rPr>
        <w:t>本次比赛为2026年国家体育总局公布的可授予运动员技术等级称号赛事，本次比赛A组（场地障碍（1.25-1.30米）个人、盛装舞步（国际马联J14-18个人赛科目）个人）为可授予运动员技术等级的组别和小项，具体标准按国家体育总局最新发布的《马术项目运动员技术等级标准》执行。</w:t>
      </w:r>
    </w:p>
    <w:p w14:paraId="79C00FA2">
      <w:pPr>
        <w:adjustRightInd w:val="0"/>
        <w:snapToGrid w:val="0"/>
        <w:spacing w:line="480" w:lineRule="exact"/>
        <w:ind w:firstLine="562" w:firstLineChars="200"/>
        <w:rPr>
          <w:rFonts w:ascii="仿宋" w:hAnsi="仿宋" w:eastAsia="仿宋" w:cs="仿宋"/>
          <w:b/>
          <w:sz w:val="28"/>
          <w:szCs w:val="28"/>
        </w:rPr>
      </w:pPr>
      <w:r>
        <w:rPr>
          <w:rFonts w:hint="eastAsia" w:ascii="仿宋" w:hAnsi="仿宋" w:eastAsia="仿宋" w:cs="仿宋"/>
          <w:b/>
          <w:sz w:val="28"/>
          <w:szCs w:val="28"/>
        </w:rPr>
        <w:t>十四、其他</w:t>
      </w:r>
    </w:p>
    <w:p w14:paraId="5824A6DF">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11229DF1">
      <w:pPr>
        <w:spacing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（二）免责条款内容 </w:t>
      </w:r>
    </w:p>
    <w:p w14:paraId="7811F3B9">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由于马术运动的不可预知性,参赛人员必须保证：对马术运动有基本了解,已充分考虑参加比赛的风险,有足够能力和正确心态参与比赛,无心脏病、高血压及其它不适合参加马术比赛的疾病。敬请参赛者正确评估活动中存在的危险性，自行评判风险承担能力,并根据自己的状况谨慎报名参加。</w:t>
      </w:r>
    </w:p>
    <w:p w14:paraId="63C003DB">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每位参赛人员必须承诺：在比赛中,时刻牢记安全第一；非他人故意造成的人身损害所产生的经济损失全部自行承担,其他参加者及组委会不承担经济赔偿责任；在比赛中产生意外伤害时，同意放弃向组织者追偿除医疗保险范围以外的权利。</w:t>
      </w:r>
    </w:p>
    <w:p w14:paraId="5860C7F1">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以上声明同时针对本次活动的所有参与者及报名参加比赛的人员。</w:t>
      </w:r>
    </w:p>
    <w:p w14:paraId="13E34B29">
      <w:pPr>
        <w:snapToGrid w:val="0"/>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2.</w:t>
      </w:r>
      <w:r>
        <w:rPr>
          <w:rFonts w:hint="eastAsia" w:ascii="仿宋" w:hAnsi="仿宋" w:eastAsia="仿宋" w:cs="仿宋"/>
          <w:bCs/>
          <w:sz w:val="28"/>
          <w:szCs w:val="28"/>
          <w:lang w:eastAsia="zh-Hans"/>
        </w:rPr>
        <w:t>参赛单位运动员、教练员应知晓体育竞赛的相关风险，确保自己身体状况符合参赛要求，自行承担非承办单位故意或重大过失导致的伤害。</w:t>
      </w:r>
    </w:p>
    <w:p w14:paraId="11C718DF">
      <w:pPr>
        <w:adjustRightInd w:val="0"/>
        <w:snapToGrid w:val="0"/>
        <w:spacing w:line="480" w:lineRule="exact"/>
        <w:ind w:firstLine="560" w:firstLineChars="200"/>
        <w:rPr>
          <w:rFonts w:ascii="仿宋" w:hAnsi="仿宋" w:eastAsia="仿宋" w:cs="仿宋"/>
          <w:sz w:val="28"/>
          <w:szCs w:val="28"/>
        </w:rPr>
      </w:pPr>
      <w:r>
        <w:rPr>
          <w:rFonts w:hint="eastAsia" w:ascii="仿宋" w:hAnsi="仿宋" w:eastAsia="仿宋" w:cs="仿宋"/>
          <w:bCs/>
          <w:sz w:val="28"/>
          <w:szCs w:val="28"/>
        </w:rPr>
        <w:t>（三）未尽事宜</w:t>
      </w:r>
      <w:r>
        <w:rPr>
          <w:rFonts w:hint="eastAsia" w:ascii="仿宋" w:hAnsi="仿宋" w:eastAsia="仿宋" w:cs="仿宋"/>
          <w:sz w:val="28"/>
          <w:szCs w:val="28"/>
        </w:rPr>
        <w:t>，另行通知。</w:t>
      </w:r>
    </w:p>
    <w:p w14:paraId="1E11E699">
      <w:pPr>
        <w:spacing w:line="460" w:lineRule="exact"/>
        <w:rPr>
          <w:sz w:val="28"/>
          <w:szCs w:val="28"/>
        </w:rPr>
      </w:pPr>
    </w:p>
    <w:sectPr>
      <w:footerReference r:id="rId5" w:type="default"/>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18ED">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22B9"/>
    <w:multiLevelType w:val="singleLevel"/>
    <w:tmpl w:val="ACB922B9"/>
    <w:lvl w:ilvl="0" w:tentative="0">
      <w:start w:val="1"/>
      <w:numFmt w:val="decimal"/>
      <w:suff w:val="nothing"/>
      <w:lvlText w:val="（%1）"/>
      <w:lvlJc w:val="left"/>
    </w:lvl>
  </w:abstractNum>
  <w:abstractNum w:abstractNumId="1">
    <w:nsid w:val="D45197E3"/>
    <w:multiLevelType w:val="singleLevel"/>
    <w:tmpl w:val="D45197E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numRestart w:val="eachPage"/>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4278A"/>
    <w:rsid w:val="002A225D"/>
    <w:rsid w:val="002C61F7"/>
    <w:rsid w:val="0038156C"/>
    <w:rsid w:val="003C1C76"/>
    <w:rsid w:val="00431B88"/>
    <w:rsid w:val="0044278A"/>
    <w:rsid w:val="004A7F56"/>
    <w:rsid w:val="004E07DD"/>
    <w:rsid w:val="00607D0B"/>
    <w:rsid w:val="006B719D"/>
    <w:rsid w:val="008007F3"/>
    <w:rsid w:val="00A73759"/>
    <w:rsid w:val="00B01952"/>
    <w:rsid w:val="00C80FF5"/>
    <w:rsid w:val="00DE6242"/>
    <w:rsid w:val="00F16E78"/>
    <w:rsid w:val="00F52FCA"/>
    <w:rsid w:val="00F93AA1"/>
    <w:rsid w:val="01E332CD"/>
    <w:rsid w:val="020E209B"/>
    <w:rsid w:val="02C00EC6"/>
    <w:rsid w:val="038B1487"/>
    <w:rsid w:val="079B64FD"/>
    <w:rsid w:val="08405138"/>
    <w:rsid w:val="08BB45BC"/>
    <w:rsid w:val="0C50423D"/>
    <w:rsid w:val="0CF462EF"/>
    <w:rsid w:val="0D904269"/>
    <w:rsid w:val="0F512544"/>
    <w:rsid w:val="122D52DF"/>
    <w:rsid w:val="129B16E6"/>
    <w:rsid w:val="135D699C"/>
    <w:rsid w:val="1419786F"/>
    <w:rsid w:val="15DF7B3C"/>
    <w:rsid w:val="162419F3"/>
    <w:rsid w:val="17C11A8F"/>
    <w:rsid w:val="181B6E25"/>
    <w:rsid w:val="1B8F790E"/>
    <w:rsid w:val="1C35495A"/>
    <w:rsid w:val="1CF00880"/>
    <w:rsid w:val="1DCC0389"/>
    <w:rsid w:val="1F6E23B7"/>
    <w:rsid w:val="1F725AC9"/>
    <w:rsid w:val="1FCE2B67"/>
    <w:rsid w:val="1FE43FA1"/>
    <w:rsid w:val="22B1460E"/>
    <w:rsid w:val="23D2428F"/>
    <w:rsid w:val="23D8020A"/>
    <w:rsid w:val="249D061D"/>
    <w:rsid w:val="29A57BC4"/>
    <w:rsid w:val="2A621E9D"/>
    <w:rsid w:val="2AC97C2B"/>
    <w:rsid w:val="2AF61758"/>
    <w:rsid w:val="2B465B0F"/>
    <w:rsid w:val="2B666CB0"/>
    <w:rsid w:val="2C25135A"/>
    <w:rsid w:val="2DA717B3"/>
    <w:rsid w:val="30161F54"/>
    <w:rsid w:val="302C71A5"/>
    <w:rsid w:val="30625708"/>
    <w:rsid w:val="31230DCD"/>
    <w:rsid w:val="32140715"/>
    <w:rsid w:val="34C53F49"/>
    <w:rsid w:val="35FE3BB6"/>
    <w:rsid w:val="387168C2"/>
    <w:rsid w:val="399530D6"/>
    <w:rsid w:val="399860D0"/>
    <w:rsid w:val="3B3836C7"/>
    <w:rsid w:val="3C481809"/>
    <w:rsid w:val="3CD75B90"/>
    <w:rsid w:val="3D844EBF"/>
    <w:rsid w:val="3DB223F5"/>
    <w:rsid w:val="3FCC6514"/>
    <w:rsid w:val="42310E70"/>
    <w:rsid w:val="42ED0B8D"/>
    <w:rsid w:val="43771045"/>
    <w:rsid w:val="47AA76FA"/>
    <w:rsid w:val="4C3677AE"/>
    <w:rsid w:val="4E223196"/>
    <w:rsid w:val="4EA824BA"/>
    <w:rsid w:val="4EE01C53"/>
    <w:rsid w:val="4EF179BD"/>
    <w:rsid w:val="4FB46B87"/>
    <w:rsid w:val="501E0EA8"/>
    <w:rsid w:val="517D384B"/>
    <w:rsid w:val="51A1724C"/>
    <w:rsid w:val="52FC4B82"/>
    <w:rsid w:val="54DA7145"/>
    <w:rsid w:val="581C5557"/>
    <w:rsid w:val="58F845EC"/>
    <w:rsid w:val="593212FE"/>
    <w:rsid w:val="5A3A490E"/>
    <w:rsid w:val="5AC00524"/>
    <w:rsid w:val="5E6C7060"/>
    <w:rsid w:val="61970898"/>
    <w:rsid w:val="63970727"/>
    <w:rsid w:val="652E1513"/>
    <w:rsid w:val="653528A1"/>
    <w:rsid w:val="66291CDA"/>
    <w:rsid w:val="677B2CEB"/>
    <w:rsid w:val="67B524DA"/>
    <w:rsid w:val="6AE71EEF"/>
    <w:rsid w:val="6B7C77F1"/>
    <w:rsid w:val="6B807383"/>
    <w:rsid w:val="6BB838C1"/>
    <w:rsid w:val="6C5534FB"/>
    <w:rsid w:val="6C592607"/>
    <w:rsid w:val="6C6A3E74"/>
    <w:rsid w:val="6D343DC9"/>
    <w:rsid w:val="6E8260C7"/>
    <w:rsid w:val="70974410"/>
    <w:rsid w:val="71836742"/>
    <w:rsid w:val="731A30D6"/>
    <w:rsid w:val="768949DE"/>
    <w:rsid w:val="76EC08E6"/>
    <w:rsid w:val="77AB07A1"/>
    <w:rsid w:val="79472C74"/>
    <w:rsid w:val="7A511094"/>
    <w:rsid w:val="7BB618B0"/>
    <w:rsid w:val="7CF404F4"/>
    <w:rsid w:val="7E741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1"/>
    <w:qFormat/>
    <w:uiPriority w:val="99"/>
    <w:pPr>
      <w:jc w:val="left"/>
    </w:pPr>
  </w:style>
  <w:style w:type="paragraph" w:styleId="4">
    <w:name w:val="endnote text"/>
    <w:basedOn w:val="1"/>
    <w:link w:val="24"/>
    <w:qFormat/>
    <w:uiPriority w:val="99"/>
    <w:pPr>
      <w:snapToGrid w:val="0"/>
      <w:jc w:val="left"/>
    </w:pPr>
  </w:style>
  <w:style w:type="paragraph" w:styleId="5">
    <w:name w:val="Balloon Text"/>
    <w:basedOn w:val="1"/>
    <w:link w:val="20"/>
    <w:qFormat/>
    <w:uiPriority w:val="99"/>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3"/>
    <w:qFormat/>
    <w:uiPriority w:val="99"/>
    <w:pPr>
      <w:snapToGrid w:val="0"/>
      <w:jc w:val="left"/>
    </w:pPr>
    <w:rPr>
      <w:sz w:val="18"/>
      <w:szCs w:val="18"/>
    </w:rPr>
  </w:style>
  <w:style w:type="paragraph" w:styleId="9">
    <w:name w:val="annotation subject"/>
    <w:basedOn w:val="3"/>
    <w:next w:val="3"/>
    <w:link w:val="22"/>
    <w:qFormat/>
    <w:uiPriority w:val="99"/>
    <w:rPr>
      <w:b/>
      <w:bCs/>
    </w:rPr>
  </w:style>
  <w:style w:type="character" w:styleId="12">
    <w:name w:val="Strong"/>
    <w:basedOn w:val="11"/>
    <w:qFormat/>
    <w:uiPriority w:val="0"/>
    <w:rPr>
      <w:b/>
    </w:rPr>
  </w:style>
  <w:style w:type="character" w:styleId="13">
    <w:name w:val="endnote reference"/>
    <w:basedOn w:val="11"/>
    <w:qFormat/>
    <w:uiPriority w:val="99"/>
    <w:rPr>
      <w:vertAlign w:val="superscript"/>
    </w:rPr>
  </w:style>
  <w:style w:type="character" w:styleId="14">
    <w:name w:val="Hyperlink"/>
    <w:basedOn w:val="11"/>
    <w:qFormat/>
    <w:uiPriority w:val="99"/>
    <w:rPr>
      <w:color w:val="0000FF"/>
      <w:u w:val="single"/>
    </w:rPr>
  </w:style>
  <w:style w:type="character" w:styleId="15">
    <w:name w:val="annotation reference"/>
    <w:basedOn w:val="11"/>
    <w:qFormat/>
    <w:uiPriority w:val="99"/>
    <w:rPr>
      <w:sz w:val="21"/>
      <w:szCs w:val="21"/>
    </w:rPr>
  </w:style>
  <w:style w:type="character" w:styleId="16">
    <w:name w:val="footnote reference"/>
    <w:basedOn w:val="11"/>
    <w:qFormat/>
    <w:uiPriority w:val="99"/>
    <w:rPr>
      <w:vertAlign w:val="superscript"/>
    </w:rPr>
  </w:style>
  <w:style w:type="character" w:customStyle="1" w:styleId="17">
    <w:name w:val="页眉 字符"/>
    <w:basedOn w:val="11"/>
    <w:link w:val="7"/>
    <w:qFormat/>
    <w:uiPriority w:val="99"/>
    <w:rPr>
      <w:rFonts w:ascii="Calibri" w:hAnsi="Calibri" w:eastAsia="宋体" w:cs="Times New Roman"/>
      <w:sz w:val="18"/>
      <w:szCs w:val="18"/>
    </w:rPr>
  </w:style>
  <w:style w:type="character" w:customStyle="1" w:styleId="18">
    <w:name w:val="页脚 字符"/>
    <w:basedOn w:val="11"/>
    <w:link w:val="6"/>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character" w:customStyle="1" w:styleId="20">
    <w:name w:val="批注框文本 字符"/>
    <w:basedOn w:val="11"/>
    <w:link w:val="5"/>
    <w:qFormat/>
    <w:uiPriority w:val="99"/>
    <w:rPr>
      <w:rFonts w:ascii="Calibri" w:hAnsi="Calibri" w:eastAsia="宋体" w:cs="Times New Roman"/>
      <w:kern w:val="2"/>
      <w:sz w:val="18"/>
      <w:szCs w:val="18"/>
    </w:rPr>
  </w:style>
  <w:style w:type="character" w:customStyle="1" w:styleId="21">
    <w:name w:val="批注文字 字符"/>
    <w:basedOn w:val="11"/>
    <w:link w:val="3"/>
    <w:qFormat/>
    <w:uiPriority w:val="99"/>
    <w:rPr>
      <w:rFonts w:ascii="Calibri" w:hAnsi="Calibri" w:eastAsia="宋体" w:cs="Times New Roman"/>
      <w:kern w:val="2"/>
      <w:sz w:val="21"/>
      <w:szCs w:val="24"/>
    </w:rPr>
  </w:style>
  <w:style w:type="character" w:customStyle="1" w:styleId="22">
    <w:name w:val="批注主题 字符"/>
    <w:basedOn w:val="21"/>
    <w:link w:val="9"/>
    <w:qFormat/>
    <w:uiPriority w:val="0"/>
    <w:rPr>
      <w:rFonts w:ascii="Calibri" w:hAnsi="Calibri" w:eastAsia="宋体" w:cs="Times New Roman"/>
      <w:kern w:val="2"/>
      <w:sz w:val="21"/>
      <w:szCs w:val="24"/>
    </w:rPr>
  </w:style>
  <w:style w:type="character" w:customStyle="1" w:styleId="23">
    <w:name w:val="脚注文本 字符"/>
    <w:basedOn w:val="11"/>
    <w:link w:val="8"/>
    <w:qFormat/>
    <w:uiPriority w:val="99"/>
    <w:rPr>
      <w:rFonts w:ascii="Calibri" w:hAnsi="Calibri" w:eastAsia="宋体" w:cs="Times New Roman"/>
      <w:kern w:val="2"/>
      <w:sz w:val="18"/>
      <w:szCs w:val="18"/>
    </w:rPr>
  </w:style>
  <w:style w:type="character" w:customStyle="1" w:styleId="24">
    <w:name w:val="尾注文本 字符"/>
    <w:basedOn w:val="11"/>
    <w:link w:val="4"/>
    <w:qFormat/>
    <w:uiPriority w:val="99"/>
    <w:rPr>
      <w:rFonts w:ascii="Calibri" w:hAnsi="Calibri" w:eastAsia="宋体" w:cs="Times New Roman"/>
      <w:kern w:val="2"/>
      <w:sz w:val="21"/>
      <w:szCs w:val="24"/>
    </w:rPr>
  </w:style>
  <w:style w:type="paragraph" w:customStyle="1" w:styleId="25">
    <w:name w:val="Table Text"/>
    <w:basedOn w:val="1"/>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Props1.xml><?xml version="1.0" encoding="utf-8"?>
<ds:datastoreItem xmlns:ds="http://schemas.openxmlformats.org/officeDocument/2006/customXml" ds:itemID="{33F61D48-2B8E-4958-8BFA-8A2501A1CF9E}">
  <ds:schemaRefs/>
</ds:datastoreItem>
</file>

<file path=customXml/itemProps2.xml><?xml version="1.0" encoding="utf-8"?>
<ds:datastoreItem xmlns:ds="http://schemas.openxmlformats.org/officeDocument/2006/customXml" ds:itemID="{625654C5-9F47-415F-B547-D9502E78804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2286</Words>
  <Characters>2636</Characters>
  <Lines>41</Lines>
  <Paragraphs>11</Paragraphs>
  <TotalTime>1</TotalTime>
  <ScaleCrop>false</ScaleCrop>
  <LinksUpToDate>false</LinksUpToDate>
  <CharactersWithSpaces>2651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2026-02-07T07:50:00Z</cp:lastPrinted>
  <dcterms:modified xsi:type="dcterms:W3CDTF">2026-05-12T02:43:09Z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0945B7E6EDB4421DBC97B45F360D6457_13</vt:lpwstr>
  </property>
  <property fmtid="{D5CDD505-2E9C-101B-9397-08002B2CF9AE}" pid="4" name="KSOTemplateDocerSaveRecord">
    <vt:lpwstr>eyJoZGlkIjoiNjA2NmNjZDM3NzUzZGJhY2I3OTc1NzBkNDI5NDdhNTkiLCJ1c2VySWQiOiIxNDQ2MzUxODYzIn0=</vt:lpwstr>
  </property>
</Properties>
</file>