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bookmarkStart w:id="2" w:name="_GoBack"/>
      <w:r>
        <w:rPr>
          <w:rFonts w:hint="eastAsia" w:ascii="宋体" w:hAnsi="宋体" w:cs="宋体"/>
          <w:b/>
          <w:bCs/>
          <w:sz w:val="36"/>
          <w:szCs w:val="36"/>
        </w:rPr>
        <w:t>上海市第十八届运动会足球比赛（青少年组）</w:t>
      </w:r>
    </w:p>
    <w:p w14:paraId="14490858">
      <w:pPr>
        <w:snapToGrid w:val="0"/>
        <w:jc w:val="center"/>
        <w:rPr>
          <w:rFonts w:ascii="宋体" w:hAnsi="宋体" w:cs="宋体"/>
          <w:b/>
          <w:bCs/>
          <w:sz w:val="36"/>
          <w:szCs w:val="36"/>
        </w:rPr>
      </w:pPr>
      <w:r>
        <w:rPr>
          <w:rFonts w:hint="eastAsia" w:ascii="宋体" w:hAnsi="宋体" w:cs="宋体"/>
          <w:b/>
          <w:bCs/>
          <w:sz w:val="36"/>
          <w:szCs w:val="36"/>
        </w:rPr>
        <w:t>竞赛规程</w:t>
      </w:r>
    </w:p>
    <w:p w14:paraId="3C2322CE">
      <w:pPr>
        <w:jc w:val="center"/>
        <w:rPr>
          <w:rFonts w:ascii="宋体" w:hAnsi="宋体" w:cs="宋体"/>
          <w:b/>
          <w:bCs/>
          <w:sz w:val="36"/>
          <w:szCs w:val="36"/>
        </w:rPr>
      </w:pPr>
    </w:p>
    <w:p w14:paraId="04E86CB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4C3A1EF5">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二、承办单位：</w:t>
      </w:r>
      <w:r>
        <w:rPr>
          <w:rFonts w:hint="eastAsia" w:ascii="仿宋" w:hAnsi="仿宋" w:eastAsia="仿宋" w:cs="仿宋"/>
          <w:sz w:val="28"/>
          <w:szCs w:val="28"/>
        </w:rPr>
        <w:t>上海市嘉定区体育局</w:t>
      </w:r>
    </w:p>
    <w:p w14:paraId="2E3D8EE7">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上海市金山区体育局</w:t>
      </w:r>
    </w:p>
    <w:p w14:paraId="2DE8450D">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上海市杨浦区体育局</w:t>
      </w:r>
    </w:p>
    <w:p w14:paraId="7CC06801">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上海市普陀区体育局</w:t>
      </w:r>
    </w:p>
    <w:p w14:paraId="458AD6E5">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上海市足球协会</w:t>
      </w:r>
    </w:p>
    <w:p w14:paraId="70D9CBFA">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              </w:t>
      </w:r>
      <w:r>
        <w:rPr>
          <w:rFonts w:hint="eastAsia" w:ascii="仿宋" w:hAnsi="仿宋" w:eastAsia="仿宋" w:cs="仿宋"/>
          <w:sz w:val="28"/>
          <w:szCs w:val="28"/>
        </w:rPr>
        <w:t>上海市足球发展总公司</w:t>
      </w:r>
    </w:p>
    <w:p w14:paraId="71D8C5B1">
      <w:pPr>
        <w:numPr>
          <w:ilvl w:val="255"/>
          <w:numId w:val="0"/>
        </w:num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上海铭氏体育休闲有限公司</w:t>
      </w:r>
    </w:p>
    <w:p w14:paraId="210CC1AA">
      <w:pPr>
        <w:numPr>
          <w:ilvl w:val="255"/>
          <w:numId w:val="0"/>
        </w:num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上海普陀区青少年足球学校</w:t>
      </w:r>
    </w:p>
    <w:p w14:paraId="73390EB9">
      <w:pPr>
        <w:numPr>
          <w:ilvl w:val="255"/>
          <w:numId w:val="0"/>
        </w:num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上海浩玮文化体育有限公司</w:t>
      </w:r>
    </w:p>
    <w:p w14:paraId="7159D703">
      <w:pPr>
        <w:numPr>
          <w:ilvl w:val="255"/>
          <w:numId w:val="0"/>
        </w:num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w:t>
      </w:r>
      <w:r>
        <w:rPr>
          <w:rFonts w:hint="eastAsia" w:ascii="仿宋" w:hAnsi="仿宋" w:eastAsia="仿宋" w:cs="仿宋"/>
          <w:b/>
          <w:sz w:val="28"/>
          <w:szCs w:val="28"/>
        </w:rPr>
        <w:t>协办单位：待定</w:t>
      </w:r>
    </w:p>
    <w:p w14:paraId="6E7331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2026年9月-10月</w:t>
      </w:r>
    </w:p>
    <w:p w14:paraId="35D03E63">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五、竞赛地点：</w:t>
      </w:r>
    </w:p>
    <w:p w14:paraId="053027D4">
      <w:pPr>
        <w:adjustRightInd w:val="0"/>
        <w:snapToGrid w:val="0"/>
        <w:spacing w:line="540" w:lineRule="exact"/>
        <w:ind w:firstLine="280" w:firstLineChars="100"/>
        <w:rPr>
          <w:rFonts w:ascii="仿宋" w:hAnsi="仿宋" w:eastAsia="仿宋" w:cs="仿宋"/>
          <w:bCs/>
          <w:sz w:val="28"/>
          <w:szCs w:val="28"/>
        </w:rPr>
      </w:pPr>
      <w:r>
        <w:rPr>
          <w:rFonts w:hint="eastAsia" w:ascii="仿宋" w:hAnsi="仿宋" w:eastAsia="仿宋" w:cs="仿宋"/>
          <w:bCs/>
          <w:sz w:val="28"/>
          <w:szCs w:val="28"/>
        </w:rPr>
        <w:t>男子甲、乙组：上海市民体育公园（上海市嘉定区安辰路999号）</w:t>
      </w:r>
    </w:p>
    <w:p w14:paraId="30E3E9E2">
      <w:pPr>
        <w:adjustRightInd w:val="0"/>
        <w:snapToGrid w:val="0"/>
        <w:spacing w:line="540" w:lineRule="exact"/>
        <w:ind w:firstLine="280" w:firstLineChars="100"/>
        <w:rPr>
          <w:rFonts w:ascii="仿宋" w:hAnsi="仿宋" w:eastAsia="仿宋" w:cs="仿宋"/>
          <w:bCs/>
          <w:sz w:val="28"/>
          <w:szCs w:val="28"/>
        </w:rPr>
      </w:pPr>
      <w:r>
        <w:rPr>
          <w:rFonts w:hint="eastAsia" w:ascii="仿宋" w:hAnsi="仿宋" w:eastAsia="仿宋" w:cs="仿宋"/>
          <w:bCs/>
          <w:sz w:val="28"/>
          <w:szCs w:val="28"/>
        </w:rPr>
        <w:t>女子甲、乙组：金山体育中心（上海市金山区杭州湾大道4100号）</w:t>
      </w:r>
    </w:p>
    <w:p w14:paraId="29DCCBFA">
      <w:pPr>
        <w:adjustRightInd w:val="0"/>
        <w:snapToGrid w:val="0"/>
        <w:spacing w:line="540" w:lineRule="exact"/>
        <w:ind w:firstLine="280" w:firstLineChars="100"/>
        <w:rPr>
          <w:rFonts w:ascii="仿宋" w:hAnsi="仿宋" w:eastAsia="仿宋" w:cs="仿宋"/>
          <w:bCs/>
          <w:sz w:val="28"/>
          <w:szCs w:val="28"/>
        </w:rPr>
      </w:pPr>
      <w:r>
        <w:rPr>
          <w:rFonts w:hint="eastAsia" w:ascii="仿宋" w:hAnsi="仿宋" w:eastAsia="仿宋" w:cs="仿宋"/>
          <w:bCs/>
          <w:sz w:val="28"/>
          <w:szCs w:val="28"/>
        </w:rPr>
        <w:t>男子丙、丁组：白洋淀足球场（上海市杨浦区长阳路3399号）</w:t>
      </w:r>
    </w:p>
    <w:p w14:paraId="152919CC">
      <w:pPr>
        <w:adjustRightInd w:val="0"/>
        <w:snapToGrid w:val="0"/>
        <w:spacing w:line="540" w:lineRule="exact"/>
        <w:ind w:firstLine="280" w:firstLineChars="100"/>
        <w:rPr>
          <w:rFonts w:ascii="仿宋" w:hAnsi="仿宋" w:eastAsia="仿宋" w:cs="仿宋"/>
          <w:bCs/>
          <w:sz w:val="28"/>
          <w:szCs w:val="28"/>
        </w:rPr>
      </w:pPr>
      <w:r>
        <w:rPr>
          <w:rFonts w:hint="eastAsia" w:ascii="仿宋" w:hAnsi="仿宋" w:eastAsia="仿宋" w:cs="仿宋"/>
          <w:bCs/>
          <w:sz w:val="28"/>
          <w:szCs w:val="28"/>
        </w:rPr>
        <w:t>女子丙、丁组：普陀体育公园（上海市普陀区金通路158号）</w:t>
      </w:r>
    </w:p>
    <w:p w14:paraId="3C46A4CB">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2D0DDFC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5"/>
        <w:tblW w:w="825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01"/>
        <w:gridCol w:w="2835"/>
        <w:gridCol w:w="1257"/>
        <w:gridCol w:w="1489"/>
        <w:gridCol w:w="1368"/>
      </w:tblGrid>
      <w:tr w14:paraId="1DB74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blHeader/>
          <w:jc w:val="center"/>
        </w:trPr>
        <w:tc>
          <w:tcPr>
            <w:tcW w:w="1301" w:type="dxa"/>
            <w:tcBorders>
              <w:tl2br w:val="nil"/>
              <w:tr2bl w:val="nil"/>
            </w:tcBorders>
            <w:shd w:val="clear" w:color="auto" w:fill="auto"/>
            <w:noWrap/>
            <w:vAlign w:val="center"/>
          </w:tcPr>
          <w:p w14:paraId="7A97D6B8">
            <w:pPr>
              <w:widowControl/>
              <w:spacing w:line="540" w:lineRule="exact"/>
              <w:jc w:val="center"/>
              <w:rPr>
                <w:rFonts w:ascii="仿宋" w:hAnsi="仿宋" w:eastAsia="仿宋" w:cs="仿宋"/>
                <w:kern w:val="0"/>
                <w:sz w:val="24"/>
                <w:szCs w:val="24"/>
              </w:rPr>
            </w:pPr>
            <w:r>
              <w:rPr>
                <w:rFonts w:hint="eastAsia" w:ascii="仿宋" w:hAnsi="仿宋" w:eastAsia="仿宋" w:cs="仿宋"/>
                <w:b/>
                <w:bCs/>
                <w:kern w:val="0"/>
                <w:sz w:val="24"/>
                <w:szCs w:val="24"/>
              </w:rPr>
              <w:t>组别</w:t>
            </w:r>
          </w:p>
        </w:tc>
        <w:tc>
          <w:tcPr>
            <w:tcW w:w="2835" w:type="dxa"/>
            <w:tcBorders>
              <w:tl2br w:val="nil"/>
              <w:tr2bl w:val="nil"/>
            </w:tcBorders>
            <w:shd w:val="clear" w:color="auto" w:fill="auto"/>
            <w:noWrap/>
            <w:vAlign w:val="center"/>
          </w:tcPr>
          <w:p w14:paraId="3031C4DA">
            <w:pPr>
              <w:widowControl/>
              <w:spacing w:line="540" w:lineRule="exact"/>
              <w:jc w:val="center"/>
              <w:rPr>
                <w:rFonts w:ascii="仿宋" w:hAnsi="仿宋" w:eastAsia="仿宋" w:cs="仿宋"/>
                <w:kern w:val="0"/>
                <w:sz w:val="24"/>
                <w:szCs w:val="24"/>
              </w:rPr>
            </w:pPr>
            <w:r>
              <w:rPr>
                <w:rFonts w:hint="eastAsia" w:ascii="仿宋" w:hAnsi="仿宋" w:eastAsia="仿宋" w:cs="仿宋"/>
                <w:b/>
                <w:bCs/>
                <w:kern w:val="0"/>
                <w:sz w:val="24"/>
                <w:szCs w:val="24"/>
              </w:rPr>
              <w:t>年龄段</w:t>
            </w:r>
          </w:p>
        </w:tc>
        <w:tc>
          <w:tcPr>
            <w:tcW w:w="1257" w:type="dxa"/>
            <w:tcBorders>
              <w:tl2br w:val="nil"/>
              <w:tr2bl w:val="nil"/>
            </w:tcBorders>
            <w:shd w:val="clear" w:color="auto" w:fill="auto"/>
            <w:noWrap/>
            <w:vAlign w:val="center"/>
          </w:tcPr>
          <w:p w14:paraId="5D4FF237">
            <w:pPr>
              <w:widowControl/>
              <w:spacing w:line="540" w:lineRule="exact"/>
              <w:jc w:val="center"/>
              <w:rPr>
                <w:rFonts w:ascii="仿宋" w:hAnsi="仿宋" w:eastAsia="仿宋" w:cs="仿宋"/>
                <w:kern w:val="0"/>
                <w:sz w:val="24"/>
                <w:szCs w:val="24"/>
              </w:rPr>
            </w:pPr>
            <w:r>
              <w:rPr>
                <w:rFonts w:hint="eastAsia" w:ascii="仿宋" w:hAnsi="仿宋" w:eastAsia="仿宋" w:cs="仿宋"/>
                <w:b/>
                <w:bCs/>
                <w:kern w:val="0"/>
                <w:sz w:val="24"/>
                <w:szCs w:val="24"/>
              </w:rPr>
              <w:t>设项数</w:t>
            </w:r>
          </w:p>
        </w:tc>
        <w:tc>
          <w:tcPr>
            <w:tcW w:w="1489" w:type="dxa"/>
            <w:tcBorders>
              <w:tl2br w:val="nil"/>
              <w:tr2bl w:val="nil"/>
            </w:tcBorders>
            <w:shd w:val="clear" w:color="auto" w:fill="auto"/>
            <w:noWrap/>
            <w:vAlign w:val="center"/>
          </w:tcPr>
          <w:p w14:paraId="3F7ACA91">
            <w:pPr>
              <w:widowControl/>
              <w:spacing w:line="540" w:lineRule="exact"/>
              <w:jc w:val="center"/>
              <w:rPr>
                <w:rFonts w:ascii="仿宋" w:hAnsi="仿宋" w:eastAsia="仿宋" w:cs="仿宋"/>
                <w:kern w:val="0"/>
                <w:sz w:val="24"/>
                <w:szCs w:val="24"/>
              </w:rPr>
            </w:pPr>
            <w:r>
              <w:rPr>
                <w:rFonts w:hint="eastAsia" w:ascii="仿宋" w:hAnsi="仿宋" w:eastAsia="仿宋" w:cs="仿宋"/>
                <w:b/>
                <w:bCs/>
                <w:kern w:val="0"/>
                <w:sz w:val="24"/>
                <w:szCs w:val="24"/>
              </w:rPr>
              <w:t>男子</w:t>
            </w:r>
          </w:p>
        </w:tc>
        <w:tc>
          <w:tcPr>
            <w:tcW w:w="1368" w:type="dxa"/>
            <w:tcBorders>
              <w:tl2br w:val="nil"/>
              <w:tr2bl w:val="nil"/>
            </w:tcBorders>
            <w:shd w:val="clear" w:color="auto" w:fill="auto"/>
            <w:noWrap/>
            <w:vAlign w:val="center"/>
          </w:tcPr>
          <w:p w14:paraId="7C3C87AF">
            <w:pPr>
              <w:widowControl/>
              <w:spacing w:line="540" w:lineRule="exact"/>
              <w:jc w:val="center"/>
              <w:rPr>
                <w:rFonts w:ascii="仿宋" w:hAnsi="仿宋" w:eastAsia="仿宋" w:cs="仿宋"/>
                <w:kern w:val="0"/>
                <w:sz w:val="24"/>
                <w:szCs w:val="24"/>
              </w:rPr>
            </w:pPr>
            <w:r>
              <w:rPr>
                <w:rFonts w:hint="eastAsia" w:ascii="仿宋" w:hAnsi="仿宋" w:eastAsia="仿宋" w:cs="仿宋"/>
                <w:b/>
                <w:bCs/>
                <w:kern w:val="0"/>
                <w:sz w:val="24"/>
                <w:szCs w:val="24"/>
              </w:rPr>
              <w:t>女子</w:t>
            </w:r>
          </w:p>
        </w:tc>
      </w:tr>
      <w:tr w14:paraId="701D2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1301" w:type="dxa"/>
            <w:tcBorders>
              <w:tl2br w:val="nil"/>
              <w:tr2bl w:val="nil"/>
            </w:tcBorders>
            <w:shd w:val="clear" w:color="auto" w:fill="auto"/>
            <w:noWrap/>
            <w:vAlign w:val="center"/>
          </w:tcPr>
          <w:p w14:paraId="3EF26C41">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甲组</w:t>
            </w:r>
          </w:p>
        </w:tc>
        <w:tc>
          <w:tcPr>
            <w:tcW w:w="2835" w:type="dxa"/>
            <w:tcBorders>
              <w:tl2br w:val="nil"/>
              <w:tr2bl w:val="nil"/>
            </w:tcBorders>
            <w:shd w:val="clear" w:color="auto" w:fill="auto"/>
            <w:noWrap/>
            <w:vAlign w:val="center"/>
          </w:tcPr>
          <w:p w14:paraId="08B98BA2">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08.9.1 - 10.12.31</w:t>
            </w:r>
          </w:p>
        </w:tc>
        <w:tc>
          <w:tcPr>
            <w:tcW w:w="1257" w:type="dxa"/>
            <w:tcBorders>
              <w:tl2br w:val="nil"/>
              <w:tr2bl w:val="nil"/>
            </w:tcBorders>
            <w:shd w:val="clear" w:color="auto" w:fill="auto"/>
            <w:noWrap/>
            <w:vAlign w:val="center"/>
          </w:tcPr>
          <w:p w14:paraId="16646399">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1489" w:type="dxa"/>
            <w:tcBorders>
              <w:tl2br w:val="nil"/>
              <w:tr2bl w:val="nil"/>
            </w:tcBorders>
            <w:shd w:val="clear" w:color="auto" w:fill="auto"/>
            <w:noWrap/>
            <w:vAlign w:val="center"/>
          </w:tcPr>
          <w:p w14:paraId="3297FDC9">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11人制</w:t>
            </w:r>
          </w:p>
        </w:tc>
        <w:tc>
          <w:tcPr>
            <w:tcW w:w="1368" w:type="dxa"/>
            <w:tcBorders>
              <w:tl2br w:val="nil"/>
              <w:tr2bl w:val="nil"/>
            </w:tcBorders>
            <w:shd w:val="clear" w:color="auto" w:fill="auto"/>
            <w:noWrap/>
            <w:vAlign w:val="center"/>
          </w:tcPr>
          <w:p w14:paraId="4D434CFA">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11人制</w:t>
            </w:r>
          </w:p>
        </w:tc>
      </w:tr>
      <w:tr w14:paraId="0E1367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1301" w:type="dxa"/>
            <w:tcBorders>
              <w:tl2br w:val="nil"/>
              <w:tr2bl w:val="nil"/>
            </w:tcBorders>
            <w:shd w:val="clear" w:color="auto" w:fill="auto"/>
            <w:noWrap/>
            <w:vAlign w:val="center"/>
          </w:tcPr>
          <w:p w14:paraId="124BAEB1">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乙组</w:t>
            </w:r>
          </w:p>
        </w:tc>
        <w:tc>
          <w:tcPr>
            <w:tcW w:w="2835" w:type="dxa"/>
            <w:tcBorders>
              <w:tl2br w:val="nil"/>
              <w:tr2bl w:val="nil"/>
            </w:tcBorders>
            <w:shd w:val="clear" w:color="auto" w:fill="auto"/>
            <w:noWrap/>
            <w:vAlign w:val="center"/>
          </w:tcPr>
          <w:p w14:paraId="5D9BC58B">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11.1.1 - 12.12.31</w:t>
            </w:r>
          </w:p>
        </w:tc>
        <w:tc>
          <w:tcPr>
            <w:tcW w:w="1257" w:type="dxa"/>
            <w:tcBorders>
              <w:tl2br w:val="nil"/>
              <w:tr2bl w:val="nil"/>
            </w:tcBorders>
            <w:shd w:val="clear" w:color="auto" w:fill="auto"/>
            <w:noWrap/>
            <w:vAlign w:val="center"/>
          </w:tcPr>
          <w:p w14:paraId="61F14CE8">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1489" w:type="dxa"/>
            <w:tcBorders>
              <w:tl2br w:val="nil"/>
              <w:tr2bl w:val="nil"/>
            </w:tcBorders>
            <w:shd w:val="clear" w:color="auto" w:fill="auto"/>
            <w:noWrap/>
            <w:vAlign w:val="center"/>
          </w:tcPr>
          <w:p w14:paraId="5178F011">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11人制</w:t>
            </w:r>
          </w:p>
        </w:tc>
        <w:tc>
          <w:tcPr>
            <w:tcW w:w="1368" w:type="dxa"/>
            <w:tcBorders>
              <w:tl2br w:val="nil"/>
              <w:tr2bl w:val="nil"/>
            </w:tcBorders>
            <w:shd w:val="clear" w:color="auto" w:fill="auto"/>
            <w:noWrap/>
            <w:vAlign w:val="center"/>
          </w:tcPr>
          <w:p w14:paraId="1AA31A18">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11人制</w:t>
            </w:r>
          </w:p>
        </w:tc>
      </w:tr>
      <w:tr w14:paraId="7B45B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1301" w:type="dxa"/>
            <w:tcBorders>
              <w:tl2br w:val="nil"/>
              <w:tr2bl w:val="nil"/>
            </w:tcBorders>
            <w:shd w:val="clear" w:color="auto" w:fill="auto"/>
            <w:noWrap/>
            <w:vAlign w:val="center"/>
          </w:tcPr>
          <w:p w14:paraId="4010B6A4">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丙组</w:t>
            </w:r>
          </w:p>
        </w:tc>
        <w:tc>
          <w:tcPr>
            <w:tcW w:w="2835" w:type="dxa"/>
            <w:tcBorders>
              <w:tl2br w:val="nil"/>
              <w:tr2bl w:val="nil"/>
            </w:tcBorders>
            <w:shd w:val="clear" w:color="auto" w:fill="auto"/>
            <w:noWrap/>
            <w:vAlign w:val="center"/>
          </w:tcPr>
          <w:p w14:paraId="2973E5F3">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13.1.1 - 14.12.31</w:t>
            </w:r>
          </w:p>
        </w:tc>
        <w:tc>
          <w:tcPr>
            <w:tcW w:w="1257" w:type="dxa"/>
            <w:tcBorders>
              <w:tl2br w:val="nil"/>
              <w:tr2bl w:val="nil"/>
            </w:tcBorders>
            <w:shd w:val="clear" w:color="auto" w:fill="auto"/>
            <w:noWrap/>
            <w:vAlign w:val="center"/>
          </w:tcPr>
          <w:p w14:paraId="15244F12">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1489" w:type="dxa"/>
            <w:tcBorders>
              <w:tl2br w:val="nil"/>
              <w:tr2bl w:val="nil"/>
            </w:tcBorders>
            <w:shd w:val="clear" w:color="auto" w:fill="auto"/>
            <w:noWrap/>
            <w:vAlign w:val="center"/>
          </w:tcPr>
          <w:p w14:paraId="6D2A91DB">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11人制</w:t>
            </w:r>
          </w:p>
        </w:tc>
        <w:tc>
          <w:tcPr>
            <w:tcW w:w="1368" w:type="dxa"/>
            <w:tcBorders>
              <w:tl2br w:val="nil"/>
              <w:tr2bl w:val="nil"/>
            </w:tcBorders>
            <w:shd w:val="clear" w:color="auto" w:fill="auto"/>
            <w:noWrap/>
            <w:vAlign w:val="center"/>
          </w:tcPr>
          <w:p w14:paraId="22AE36F0">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8人制</w:t>
            </w:r>
          </w:p>
        </w:tc>
      </w:tr>
      <w:tr w14:paraId="3AAE06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1301" w:type="dxa"/>
            <w:tcBorders>
              <w:tl2br w:val="nil"/>
              <w:tr2bl w:val="nil"/>
            </w:tcBorders>
            <w:shd w:val="clear" w:color="auto" w:fill="auto"/>
            <w:noWrap/>
            <w:vAlign w:val="center"/>
          </w:tcPr>
          <w:p w14:paraId="627D8AB7">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丁组</w:t>
            </w:r>
          </w:p>
        </w:tc>
        <w:tc>
          <w:tcPr>
            <w:tcW w:w="2835" w:type="dxa"/>
            <w:tcBorders>
              <w:tl2br w:val="nil"/>
              <w:tr2bl w:val="nil"/>
            </w:tcBorders>
            <w:shd w:val="clear" w:color="auto" w:fill="auto"/>
            <w:noWrap/>
            <w:vAlign w:val="center"/>
          </w:tcPr>
          <w:p w14:paraId="0409CDB5">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15.1.1 - 16.12.31</w:t>
            </w:r>
          </w:p>
        </w:tc>
        <w:tc>
          <w:tcPr>
            <w:tcW w:w="1257" w:type="dxa"/>
            <w:tcBorders>
              <w:tl2br w:val="nil"/>
              <w:tr2bl w:val="nil"/>
            </w:tcBorders>
            <w:shd w:val="clear" w:color="auto" w:fill="auto"/>
            <w:noWrap/>
            <w:vAlign w:val="center"/>
          </w:tcPr>
          <w:p w14:paraId="6F5183F6">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1489" w:type="dxa"/>
            <w:tcBorders>
              <w:tl2br w:val="nil"/>
              <w:tr2bl w:val="nil"/>
            </w:tcBorders>
            <w:shd w:val="clear" w:color="auto" w:fill="auto"/>
            <w:noWrap/>
            <w:vAlign w:val="center"/>
          </w:tcPr>
          <w:p w14:paraId="3878C866">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8人制</w:t>
            </w:r>
          </w:p>
        </w:tc>
        <w:tc>
          <w:tcPr>
            <w:tcW w:w="1368" w:type="dxa"/>
            <w:tcBorders>
              <w:tl2br w:val="nil"/>
              <w:tr2bl w:val="nil"/>
            </w:tcBorders>
            <w:shd w:val="clear" w:color="auto" w:fill="auto"/>
            <w:noWrap/>
            <w:vAlign w:val="center"/>
          </w:tcPr>
          <w:p w14:paraId="2099DCB1">
            <w:pPr>
              <w:widowControl/>
              <w:spacing w:line="540" w:lineRule="exact"/>
              <w:jc w:val="center"/>
              <w:rPr>
                <w:rFonts w:ascii="仿宋" w:hAnsi="仿宋" w:eastAsia="仿宋" w:cs="仿宋"/>
                <w:kern w:val="0"/>
                <w:sz w:val="24"/>
                <w:szCs w:val="24"/>
              </w:rPr>
            </w:pPr>
            <w:r>
              <w:rPr>
                <w:rFonts w:hint="eastAsia" w:ascii="仿宋" w:hAnsi="仿宋" w:eastAsia="仿宋" w:cs="仿宋"/>
                <w:kern w:val="0"/>
                <w:sz w:val="24"/>
                <w:szCs w:val="24"/>
              </w:rPr>
              <w:t>8人制</w:t>
            </w:r>
          </w:p>
        </w:tc>
      </w:tr>
    </w:tbl>
    <w:p w14:paraId="650D439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8E69F31">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（二）每名运动员只能代表一个单位（代表团）参加一个年龄组别的比赛；运动员不得跨越组别参赛。</w:t>
      </w:r>
    </w:p>
    <w:p w14:paraId="36A4EB8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运动员须在上海市足球协会完成2026年注册（注册期为1月1日至3月31日），持有当年有效的《上海市青少年足球运动员注册卡》，签署《自愿参赛责任及风险告知书》参赛及代表本市的《全国运动员代表资格协议书》。运动员的全国足球项目注册资格已不归属上海市的，不得报名参加市运会。</w:t>
      </w:r>
    </w:p>
    <w:p w14:paraId="2F59DAA7">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其中，非沪籍运动员、</w:t>
      </w:r>
      <w:r>
        <w:rPr>
          <w:rFonts w:hint="eastAsia" w:ascii="仿宋" w:hAnsi="仿宋" w:eastAsia="仿宋" w:cs="仿宋"/>
          <w:bCs/>
          <w:kern w:val="44"/>
          <w:sz w:val="28"/>
          <w:szCs w:val="28"/>
        </w:rPr>
        <w:t>外省市转会运动员</w:t>
      </w:r>
      <w:r>
        <w:rPr>
          <w:rFonts w:hint="eastAsia" w:ascii="仿宋" w:hAnsi="仿宋" w:eastAsia="仿宋" w:cs="仿宋"/>
          <w:sz w:val="28"/>
          <w:szCs w:val="28"/>
        </w:rPr>
        <w:t>须2025年、2026年连续两年在上海市足球协会注册（2026年注册期为1月1日至3月31日）。</w:t>
      </w:r>
    </w:p>
    <w:p w14:paraId="2B8DA91E">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（四）体能参赛门槛</w:t>
      </w:r>
    </w:p>
    <w:p w14:paraId="7008E34A">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（1）乙、丙、丁组运动员须参加2026年上海市足球二线体能测试赛，并达到准入标准分（40分），方可参加本次比赛。</w:t>
      </w:r>
    </w:p>
    <w:p w14:paraId="676A3B7A">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（2）如运动员因代表上海参加全国比赛、国家各级梯队集训，而无法参加2026年上海市足球二线体能测试赛的，由参赛单位提供相关证明，经上海市足球协会认定后，可予以免测。</w:t>
      </w:r>
    </w:p>
    <w:p w14:paraId="04682FC9">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（五）2026年已在外省市注册或代表外省市在中国足协注册的运动员不得参加比赛。如运动员交流或变更全国足球项目注册资格至外省市须经市体育局批准同意交流，方可参赛。</w:t>
      </w:r>
    </w:p>
    <w:p w14:paraId="01B8C8C9">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本市市属青少年高水平运动队在编运动员代表原输送单位参赛，本市区属青少年高水平运动队的运动员根据双方协议可回原输送单位参赛，转会到本市职业俱乐部梯队的运动员根据双方协议可回原单位参赛。</w:t>
      </w:r>
    </w:p>
    <w:p w14:paraId="57CD9C07">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（七）经市教委、市体育局共同认定的上海市高中阶段学校引进优秀体育学生，运动员可代表原注册单位所在区参赛，如就读高中与原注册单位另有协议的从其约定。</w:t>
      </w:r>
    </w:p>
    <w:p w14:paraId="2932F43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5AE54D78">
      <w:pPr>
        <w:snapToGrid w:val="0"/>
        <w:spacing w:line="540" w:lineRule="exact"/>
        <w:ind w:firstLine="560" w:firstLineChars="200"/>
        <w:rPr>
          <w:rFonts w:ascii="仿宋" w:hAnsi="仿宋" w:eastAsia="仿宋" w:cs="仿宋"/>
          <w:bCs/>
          <w:kern w:val="44"/>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九</w:t>
      </w:r>
      <w:r>
        <w:rPr>
          <w:rFonts w:hint="eastAsia" w:ascii="仿宋" w:hAnsi="仿宋" w:eastAsia="仿宋" w:cs="仿宋"/>
          <w:sz w:val="28"/>
          <w:szCs w:val="28"/>
        </w:rPr>
        <w:t>）</w:t>
      </w:r>
      <w:r>
        <w:rPr>
          <w:rFonts w:hint="eastAsia" w:ascii="仿宋" w:hAnsi="仿宋" w:eastAsia="仿宋" w:cs="仿宋"/>
          <w:bCs/>
          <w:kern w:val="44"/>
          <w:sz w:val="28"/>
          <w:szCs w:val="28"/>
        </w:rPr>
        <w:t>带队教练员须在2026年3月31日前完成上海市足球协会注册，并持有在有效期内的教练员等级证书。根据《中国足球协会足球运动员技术等级管理规定（2025版）》相关条款，报名男女甲、乙组的主教练必须为B级及以上。</w:t>
      </w:r>
    </w:p>
    <w:p w14:paraId="2E872776">
      <w:pPr>
        <w:snapToGrid w:val="0"/>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（十）各参赛单位须为参赛运动员、球队官员办理人身意外保险。</w:t>
      </w:r>
    </w:p>
    <w:p w14:paraId="04B8B923">
      <w:pPr>
        <w:pStyle w:val="9"/>
        <w:spacing w:line="540" w:lineRule="exact"/>
        <w:ind w:firstLine="562"/>
        <w:rPr>
          <w:rFonts w:ascii="仿宋" w:hAnsi="仿宋" w:eastAsia="仿宋" w:cs="仿宋"/>
          <w:b/>
          <w:bCs/>
          <w:kern w:val="44"/>
          <w:sz w:val="28"/>
          <w:szCs w:val="28"/>
        </w:rPr>
      </w:pPr>
      <w:r>
        <w:rPr>
          <w:rFonts w:hint="eastAsia" w:ascii="仿宋" w:hAnsi="仿宋" w:eastAsia="仿宋" w:cs="仿宋"/>
          <w:b/>
          <w:bCs/>
          <w:kern w:val="44"/>
          <w:sz w:val="28"/>
          <w:szCs w:val="28"/>
        </w:rPr>
        <w:t>九、</w:t>
      </w:r>
      <w:bookmarkStart w:id="0" w:name="_Hlk67316117"/>
      <w:r>
        <w:rPr>
          <w:rFonts w:hint="eastAsia" w:ascii="仿宋" w:hAnsi="仿宋" w:eastAsia="仿宋" w:cs="仿宋"/>
          <w:b/>
          <w:bCs/>
          <w:kern w:val="44"/>
          <w:sz w:val="28"/>
          <w:szCs w:val="28"/>
        </w:rPr>
        <w:t>参加办法</w:t>
      </w:r>
      <w:bookmarkEnd w:id="0"/>
    </w:p>
    <w:p w14:paraId="5C7CE1FC">
      <w:pPr>
        <w:spacing w:line="540" w:lineRule="exact"/>
        <w:ind w:firstLine="560" w:firstLineChars="200"/>
        <w:rPr>
          <w:rFonts w:ascii="仿宋" w:hAnsi="仿宋" w:eastAsia="仿宋" w:cs="仿宋"/>
          <w:bCs/>
          <w:sz w:val="28"/>
          <w:szCs w:val="28"/>
        </w:rPr>
      </w:pPr>
      <w:r>
        <w:rPr>
          <w:rFonts w:hint="eastAsia" w:ascii="仿宋" w:hAnsi="仿宋" w:eastAsia="仿宋" w:cs="仿宋"/>
          <w:sz w:val="28"/>
          <w:szCs w:val="28"/>
        </w:rPr>
        <w:t>（一）</w:t>
      </w:r>
      <w:r>
        <w:rPr>
          <w:rFonts w:hint="eastAsia" w:ascii="仿宋" w:hAnsi="仿宋" w:eastAsia="仿宋" w:cs="仿宋"/>
          <w:bCs/>
          <w:sz w:val="28"/>
          <w:szCs w:val="28"/>
        </w:rPr>
        <w:t>每单位各组别均可报1支队。各单位可在男女8个组别中额外增报男女各一支“一条龙”布局学校参赛，报名运动员必须是同一所学校的在籍在读学生。</w:t>
      </w:r>
    </w:p>
    <w:p w14:paraId="7784EB81">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sz w:val="28"/>
          <w:szCs w:val="28"/>
        </w:rPr>
        <w:t>（二）</w:t>
      </w:r>
      <w:r>
        <w:rPr>
          <w:rFonts w:hint="eastAsia" w:ascii="仿宋" w:hAnsi="仿宋" w:eastAsia="仿宋" w:cs="仿宋"/>
          <w:bCs/>
          <w:kern w:val="44"/>
          <w:sz w:val="28"/>
          <w:szCs w:val="28"/>
        </w:rPr>
        <w:t>每队须报领队1名、主教练1名，可报助理教练1-4名、队医1名；11人制组别可报运动员11-23名；8人制组别可报运动员8-15名。男女甲、乙组每队必须填报1名等级证管理员。</w:t>
      </w:r>
    </w:p>
    <w:p w14:paraId="2E3C56E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交流运动员是指在2025年1月1日至2026年3月31日办理转会（含市内跨区及外省市转进）的运动员，报名时须注明。甲、乙、丙组交流运动员报名人数不得超过实际报名人数的30%（按四舍五入计）,上场人数不得超过2人。丁组不允许交流。</w:t>
      </w:r>
    </w:p>
    <w:p w14:paraId="238F7513">
      <w:pPr>
        <w:spacing w:line="560" w:lineRule="exact"/>
        <w:ind w:firstLine="560" w:firstLineChars="200"/>
        <w:jc w:val="left"/>
        <w:rPr>
          <w:rFonts w:ascii="仿宋" w:hAnsi="仿宋" w:eastAsia="仿宋" w:cs="仿宋"/>
          <w:bCs/>
          <w:kern w:val="44"/>
          <w:sz w:val="28"/>
          <w:szCs w:val="28"/>
        </w:rPr>
      </w:pPr>
      <w:r>
        <w:rPr>
          <w:rFonts w:hint="eastAsia" w:ascii="仿宋" w:hAnsi="仿宋" w:eastAsia="仿宋" w:cs="仿宋"/>
          <w:sz w:val="28"/>
          <w:szCs w:val="28"/>
        </w:rPr>
        <w:t>（四）参赛单位通过大会指定的网站www.aijingsai.cn（上海青少年体育赛事网）进行网上报名，并在规定时间内将导出打印的报名表加盖公章后，一式两份报大会组委会竞赛部（地址：徐汇区零陵路800号8楼，竞赛部，31211118）。各参赛队须于</w:t>
      </w:r>
      <w:r>
        <w:rPr>
          <w:rFonts w:hint="eastAsia" w:ascii="仿宋" w:hAnsi="仿宋" w:eastAsia="仿宋" w:cs="仿宋"/>
          <w:bCs/>
          <w:kern w:val="44"/>
          <w:sz w:val="28"/>
          <w:szCs w:val="28"/>
        </w:rPr>
        <w:t>8月1日-8月10日通过足球中国APP完成组队报名。报名表一旦确认，不得更改。</w:t>
      </w:r>
    </w:p>
    <w:p w14:paraId="0A47AB54">
      <w:pPr>
        <w:snapToGrid w:val="0"/>
        <w:spacing w:line="4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十、竞赛办法</w:t>
      </w:r>
    </w:p>
    <w:p w14:paraId="0764E004">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（一）采用中国足协最新审定的《足球竞赛规则》及相关规定。</w:t>
      </w:r>
    </w:p>
    <w:p w14:paraId="57E2578C">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（二）各组别参赛队伍少于2个参赛单位3支队，均不安排比赛。</w:t>
      </w:r>
    </w:p>
    <w:p w14:paraId="07A25A5A">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（三）编排、抽签方法</w:t>
      </w:r>
    </w:p>
    <w:p w14:paraId="1C11A602">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参赛球队按照2026年上海市青少年足球锦标赛成绩进行蛇形编排。如同区在同一组别获得多个名次的，取较高名次参加排位，后序名次依次向上递补。如未取得2026年上海市青少年足球锦标赛名次，则采用抽签的方式确定顺序，依次排在已确定球队位置后面，具体抽签规则如下：</w:t>
      </w:r>
    </w:p>
    <w:p w14:paraId="16A5832A">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w:t>
      </w:r>
      <w:r>
        <w:rPr>
          <w:rFonts w:ascii="仿宋" w:hAnsi="仿宋" w:eastAsia="仿宋" w:cs="仿宋"/>
          <w:bCs/>
          <w:kern w:val="44"/>
          <w:sz w:val="28"/>
          <w:szCs w:val="28"/>
        </w:rPr>
        <w:t>在</w:t>
      </w:r>
      <w:r>
        <w:rPr>
          <w:rFonts w:hint="eastAsia" w:ascii="仿宋" w:hAnsi="仿宋" w:eastAsia="仿宋" w:cs="仿宋"/>
          <w:bCs/>
          <w:kern w:val="44"/>
          <w:sz w:val="28"/>
          <w:szCs w:val="28"/>
        </w:rPr>
        <w:t>同一</w:t>
      </w:r>
      <w:r>
        <w:rPr>
          <w:rFonts w:ascii="仿宋" w:hAnsi="仿宋" w:eastAsia="仿宋" w:cs="仿宋"/>
          <w:bCs/>
          <w:kern w:val="44"/>
          <w:sz w:val="28"/>
          <w:szCs w:val="28"/>
        </w:rPr>
        <w:t>组别有两支</w:t>
      </w:r>
      <w:r>
        <w:rPr>
          <w:rFonts w:hint="eastAsia" w:ascii="仿宋" w:hAnsi="仿宋" w:eastAsia="仿宋" w:cs="仿宋"/>
          <w:bCs/>
          <w:kern w:val="44"/>
          <w:sz w:val="28"/>
          <w:szCs w:val="28"/>
        </w:rPr>
        <w:t>同区</w:t>
      </w:r>
      <w:r>
        <w:rPr>
          <w:rFonts w:ascii="仿宋" w:hAnsi="仿宋" w:eastAsia="仿宋" w:cs="仿宋"/>
          <w:bCs/>
          <w:kern w:val="44"/>
          <w:sz w:val="28"/>
          <w:szCs w:val="28"/>
        </w:rPr>
        <w:t>参赛队</w:t>
      </w:r>
      <w:r>
        <w:rPr>
          <w:rFonts w:hint="eastAsia" w:ascii="仿宋" w:hAnsi="仿宋" w:eastAsia="仿宋" w:cs="仿宋"/>
          <w:bCs/>
          <w:kern w:val="44"/>
          <w:sz w:val="28"/>
          <w:szCs w:val="28"/>
        </w:rPr>
        <w:t>的</w:t>
      </w:r>
      <w:r>
        <w:rPr>
          <w:rFonts w:ascii="仿宋" w:hAnsi="仿宋" w:eastAsia="仿宋" w:cs="仿宋"/>
          <w:bCs/>
          <w:kern w:val="44"/>
          <w:sz w:val="28"/>
          <w:szCs w:val="28"/>
        </w:rPr>
        <w:t>先进行抽签</w:t>
      </w:r>
      <w:r>
        <w:rPr>
          <w:rFonts w:hint="eastAsia" w:ascii="仿宋" w:hAnsi="仿宋" w:eastAsia="仿宋" w:cs="仿宋"/>
          <w:bCs/>
          <w:kern w:val="44"/>
          <w:sz w:val="28"/>
          <w:szCs w:val="28"/>
        </w:rPr>
        <w:t>。如</w:t>
      </w:r>
      <w:r>
        <w:rPr>
          <w:rFonts w:ascii="仿宋" w:hAnsi="仿宋" w:eastAsia="仿宋" w:cs="仿宋"/>
          <w:bCs/>
          <w:kern w:val="44"/>
          <w:sz w:val="28"/>
          <w:szCs w:val="28"/>
        </w:rPr>
        <w:t>同区的两队抽到同一个小组，</w:t>
      </w:r>
      <w:r>
        <w:rPr>
          <w:rFonts w:hint="eastAsia" w:ascii="仿宋" w:hAnsi="仿宋" w:eastAsia="仿宋" w:cs="仿宋"/>
          <w:bCs/>
          <w:kern w:val="44"/>
          <w:sz w:val="28"/>
          <w:szCs w:val="28"/>
        </w:rPr>
        <w:t>则</w:t>
      </w:r>
      <w:r>
        <w:rPr>
          <w:rFonts w:ascii="仿宋" w:hAnsi="仿宋" w:eastAsia="仿宋" w:cs="仿宋"/>
          <w:bCs/>
          <w:kern w:val="44"/>
          <w:sz w:val="28"/>
          <w:szCs w:val="28"/>
        </w:rPr>
        <w:t>该队伍重新抽签；</w:t>
      </w:r>
    </w:p>
    <w:p w14:paraId="35755351">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w:t>
      </w:r>
      <w:r>
        <w:rPr>
          <w:rFonts w:ascii="仿宋" w:hAnsi="仿宋" w:eastAsia="仿宋" w:cs="仿宋"/>
          <w:bCs/>
          <w:kern w:val="44"/>
          <w:sz w:val="28"/>
          <w:szCs w:val="28"/>
        </w:rPr>
        <w:t>各代表团按所属区行政序列进行第一轮抽签顺序号，按顺序号进行第二次抽签；</w:t>
      </w:r>
    </w:p>
    <w:p w14:paraId="7B4F18EB">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3.</w:t>
      </w:r>
      <w:r>
        <w:rPr>
          <w:rFonts w:ascii="仿宋" w:hAnsi="仿宋" w:eastAsia="仿宋" w:cs="仿宋"/>
          <w:bCs/>
          <w:kern w:val="44"/>
          <w:sz w:val="28"/>
          <w:szCs w:val="28"/>
        </w:rPr>
        <w:t>第二次抽签位置号编入相应各小组</w:t>
      </w:r>
      <w:r>
        <w:rPr>
          <w:rFonts w:hint="eastAsia" w:ascii="仿宋" w:hAnsi="仿宋" w:eastAsia="仿宋" w:cs="仿宋"/>
          <w:bCs/>
          <w:kern w:val="44"/>
          <w:sz w:val="28"/>
          <w:szCs w:val="28"/>
        </w:rPr>
        <w:t>。</w:t>
      </w:r>
    </w:p>
    <w:p w14:paraId="43C0EF7C">
      <w:pPr>
        <w:spacing w:line="540" w:lineRule="exact"/>
        <w:ind w:firstLine="560" w:firstLineChars="200"/>
        <w:rPr>
          <w:rFonts w:ascii="仿宋" w:hAnsi="仿宋" w:eastAsia="仿宋" w:cs="仿宋"/>
          <w:bCs/>
          <w:kern w:val="44"/>
          <w:sz w:val="28"/>
          <w:szCs w:val="28"/>
        </w:rPr>
      </w:pPr>
      <w:r>
        <w:rPr>
          <w:rFonts w:hint="eastAsia" w:ascii="仿宋" w:hAnsi="仿宋" w:eastAsia="仿宋" w:cs="仿宋"/>
          <w:sz w:val="28"/>
          <w:szCs w:val="28"/>
        </w:rPr>
        <w:t>（四）比赛赛制</w:t>
      </w:r>
    </w:p>
    <w:p w14:paraId="68E0079F">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1.当报名队伍数为3支时，采用双循环比赛决定比赛名次。</w:t>
      </w:r>
    </w:p>
    <w:p w14:paraId="48D209C5">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2.当报名队伍数为4至7支时，赛制分为第一阶段小组赛和第二阶段淘汰赛。</w:t>
      </w:r>
    </w:p>
    <w:p w14:paraId="3E236504">
      <w:pPr>
        <w:numPr>
          <w:ilvl w:val="255"/>
          <w:numId w:val="0"/>
        </w:num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（1）小组赛：各小组进行组内单循环比赛，取前4名晋级淘汰赛和未晋级的至多3支进入淘汰赛。</w:t>
      </w:r>
    </w:p>
    <w:p w14:paraId="3D642E94">
      <w:pPr>
        <w:numPr>
          <w:ilvl w:val="255"/>
          <w:numId w:val="0"/>
        </w:num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（2）淘汰赛：根据第一阶段小组赛成绩，前4名队伍进行交叉淘汰赛决出最终1-4名。未晋级的队伍数为1或3时，进行单循环比赛；未晋级的队伍数为2时，进行淘汰赛决出剩余名次。</w:t>
      </w:r>
    </w:p>
    <w:p w14:paraId="37216373">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3.当报名队伍数为8支及以上时，赛制分为第一阶段小组赛和第二阶段淘汰赛。</w:t>
      </w:r>
    </w:p>
    <w:p w14:paraId="33A86585">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（1）小组赛：各小组进行组内单循环比赛，取前8名晋级和未晋级的至多4支队进入淘汰赛。</w:t>
      </w:r>
    </w:p>
    <w:p w14:paraId="0BD04FB6">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（2）淘汰赛：根据第一阶段小组赛成绩，前8名队伍进行淘汰赛决出最终1-8名。未晋级的队伍数为1或3时，进行单循环比赛；未晋级的队伍数为2或4时，进行淘汰赛决出剩余名次。其余队伍不再进行比赛。</w:t>
      </w:r>
    </w:p>
    <w:p w14:paraId="066D1F43">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4.6支队以上分组方法和小组赛前12名成绩排序办法如下：</w:t>
      </w:r>
    </w:p>
    <w:p w14:paraId="540B1663">
      <w:pPr>
        <w:spacing w:line="540" w:lineRule="exact"/>
        <w:ind w:firstLine="560" w:firstLineChars="200"/>
        <w:jc w:val="center"/>
        <w:rPr>
          <w:rFonts w:ascii="仿宋" w:hAnsi="仿宋" w:eastAsia="仿宋" w:cs="仿宋"/>
          <w:bCs/>
          <w:kern w:val="44"/>
          <w:sz w:val="28"/>
          <w:szCs w:val="28"/>
        </w:rPr>
      </w:pPr>
      <w:r>
        <w:rPr>
          <w:rFonts w:hint="eastAsia" w:ascii="仿宋" w:hAnsi="仿宋" w:eastAsia="仿宋" w:cs="仿宋"/>
          <w:bCs/>
          <w:kern w:val="44"/>
          <w:sz w:val="28"/>
          <w:szCs w:val="28"/>
        </w:rPr>
        <w:t>球队数量分组及排序对照表</w:t>
      </w:r>
    </w:p>
    <w:tbl>
      <w:tblPr>
        <w:tblStyle w:val="5"/>
        <w:tblW w:w="8451" w:type="dxa"/>
        <w:jc w:val="center"/>
        <w:tblLayout w:type="fixed"/>
        <w:tblCellMar>
          <w:top w:w="0" w:type="dxa"/>
          <w:left w:w="108" w:type="dxa"/>
          <w:bottom w:w="0" w:type="dxa"/>
          <w:right w:w="108" w:type="dxa"/>
        </w:tblCellMar>
      </w:tblPr>
      <w:tblGrid>
        <w:gridCol w:w="1465"/>
        <w:gridCol w:w="2733"/>
        <w:gridCol w:w="1169"/>
        <w:gridCol w:w="3084"/>
      </w:tblGrid>
      <w:tr w14:paraId="401CF147">
        <w:tblPrEx>
          <w:tblCellMar>
            <w:top w:w="0" w:type="dxa"/>
            <w:left w:w="108" w:type="dxa"/>
            <w:bottom w:w="0" w:type="dxa"/>
            <w:right w:w="108" w:type="dxa"/>
          </w:tblCellMar>
        </w:tblPrEx>
        <w:trPr>
          <w:trHeight w:val="737" w:hRule="exact"/>
          <w:tblHeader/>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0321">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球队数量</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D50C2">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分组情况</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EBF83">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分组数</w:t>
            </w:r>
          </w:p>
        </w:tc>
        <w:tc>
          <w:tcPr>
            <w:tcW w:w="3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2C360">
            <w:pPr>
              <w:widowControl/>
              <w:jc w:val="center"/>
              <w:textAlignment w:val="center"/>
              <w:rPr>
                <w:rFonts w:ascii="仿宋" w:hAnsi="仿宋" w:eastAsia="仿宋" w:cs="仿宋"/>
                <w:b/>
                <w:bCs/>
                <w:color w:val="000000"/>
                <w:kern w:val="0"/>
                <w:sz w:val="22"/>
                <w:szCs w:val="22"/>
                <w:lang w:bidi="ar"/>
              </w:rPr>
            </w:pPr>
            <w:r>
              <w:rPr>
                <w:rFonts w:hint="eastAsia" w:ascii="仿宋" w:hAnsi="仿宋" w:eastAsia="仿宋" w:cs="仿宋"/>
                <w:b/>
                <w:bCs/>
                <w:color w:val="000000"/>
                <w:kern w:val="0"/>
                <w:sz w:val="22"/>
                <w:szCs w:val="22"/>
                <w:lang w:bidi="ar"/>
              </w:rPr>
              <w:t>成绩排序办法</w:t>
            </w:r>
          </w:p>
        </w:tc>
      </w:tr>
      <w:tr w14:paraId="5364AAD4">
        <w:tblPrEx>
          <w:tblCellMar>
            <w:top w:w="0" w:type="dxa"/>
            <w:left w:w="108" w:type="dxa"/>
            <w:bottom w:w="0" w:type="dxa"/>
            <w:right w:w="108" w:type="dxa"/>
          </w:tblCellMar>
        </w:tblPrEx>
        <w:trPr>
          <w:trHeight w:val="737" w:hRule="exact"/>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FD2D8">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4-5支队</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5F01D">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A</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52D8D">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w:t>
            </w:r>
          </w:p>
        </w:tc>
        <w:tc>
          <w:tcPr>
            <w:tcW w:w="3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2EB6">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小组循环名次排序</w:t>
            </w:r>
          </w:p>
        </w:tc>
      </w:tr>
      <w:tr w14:paraId="0B1A329E">
        <w:tblPrEx>
          <w:tblCellMar>
            <w:top w:w="0" w:type="dxa"/>
            <w:left w:w="108" w:type="dxa"/>
            <w:bottom w:w="0" w:type="dxa"/>
            <w:right w:w="108" w:type="dxa"/>
          </w:tblCellMar>
        </w:tblPrEx>
        <w:trPr>
          <w:trHeight w:val="737" w:hRule="exact"/>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F68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6-8支队</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141D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A、B</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D09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3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D03A9">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各小组名次依次按分组顺序排序</w:t>
            </w:r>
          </w:p>
        </w:tc>
      </w:tr>
      <w:tr w14:paraId="48636B3D">
        <w:tblPrEx>
          <w:tblCellMar>
            <w:top w:w="0" w:type="dxa"/>
            <w:left w:w="108" w:type="dxa"/>
            <w:bottom w:w="0" w:type="dxa"/>
            <w:right w:w="108" w:type="dxa"/>
          </w:tblCellMar>
        </w:tblPrEx>
        <w:trPr>
          <w:trHeight w:val="1137" w:hRule="exact"/>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DFA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9-11支队</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209D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A、B、C</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F92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w:t>
            </w:r>
          </w:p>
        </w:tc>
        <w:tc>
          <w:tcPr>
            <w:tcW w:w="3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E7AA4">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各小组前二名依次按分组顺序排序；小组第三、四名依次按成绩排序</w:t>
            </w:r>
          </w:p>
        </w:tc>
      </w:tr>
      <w:tr w14:paraId="10F2FE40">
        <w:tblPrEx>
          <w:tblCellMar>
            <w:top w:w="0" w:type="dxa"/>
            <w:left w:w="108" w:type="dxa"/>
            <w:bottom w:w="0" w:type="dxa"/>
            <w:right w:w="108" w:type="dxa"/>
          </w:tblCellMar>
        </w:tblPrEx>
        <w:trPr>
          <w:trHeight w:val="737" w:hRule="exact"/>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7536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12-16支队</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AD87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A、B、C、D</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F0C3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3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5173B">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各小组前三名依次按分组顺序排序</w:t>
            </w:r>
          </w:p>
        </w:tc>
      </w:tr>
      <w:tr w14:paraId="09DE12C9">
        <w:tblPrEx>
          <w:tblCellMar>
            <w:top w:w="0" w:type="dxa"/>
            <w:left w:w="108" w:type="dxa"/>
            <w:bottom w:w="0" w:type="dxa"/>
            <w:right w:w="108" w:type="dxa"/>
          </w:tblCellMar>
        </w:tblPrEx>
        <w:trPr>
          <w:trHeight w:val="737" w:hRule="exact"/>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316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17-20支队</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BBB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A、B、C、D、E</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D563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w:t>
            </w:r>
          </w:p>
        </w:tc>
        <w:tc>
          <w:tcPr>
            <w:tcW w:w="3084" w:type="dxa"/>
            <w:vMerge w:val="restart"/>
            <w:tcBorders>
              <w:top w:val="single" w:color="000000" w:sz="4" w:space="0"/>
              <w:left w:val="single" w:color="000000" w:sz="4" w:space="0"/>
              <w:right w:val="single" w:color="000000" w:sz="4" w:space="0"/>
            </w:tcBorders>
            <w:shd w:val="clear" w:color="auto" w:fill="auto"/>
            <w:noWrap/>
            <w:vAlign w:val="center"/>
          </w:tcPr>
          <w:p w14:paraId="6835D18A">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各小组第一名按分组顺序排序；小组第二、三名队伍依次按成绩排序</w:t>
            </w:r>
          </w:p>
        </w:tc>
      </w:tr>
      <w:tr w14:paraId="3CDC84F0">
        <w:tblPrEx>
          <w:tblCellMar>
            <w:top w:w="0" w:type="dxa"/>
            <w:left w:w="108" w:type="dxa"/>
            <w:bottom w:w="0" w:type="dxa"/>
            <w:right w:w="108" w:type="dxa"/>
          </w:tblCellMar>
        </w:tblPrEx>
        <w:trPr>
          <w:trHeight w:val="737" w:hRule="exact"/>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0321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21-24支队</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D131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A、B、C、D、E、F</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19DC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w:t>
            </w:r>
          </w:p>
        </w:tc>
        <w:tc>
          <w:tcPr>
            <w:tcW w:w="3084" w:type="dxa"/>
            <w:vMerge w:val="continue"/>
            <w:tcBorders>
              <w:left w:val="single" w:color="000000" w:sz="4" w:space="0"/>
              <w:right w:val="single" w:color="000000" w:sz="4" w:space="0"/>
            </w:tcBorders>
            <w:shd w:val="clear" w:color="auto" w:fill="auto"/>
            <w:noWrap/>
            <w:vAlign w:val="center"/>
          </w:tcPr>
          <w:p w14:paraId="3FE04BF8">
            <w:pPr>
              <w:widowControl/>
              <w:jc w:val="center"/>
              <w:textAlignment w:val="center"/>
              <w:rPr>
                <w:rFonts w:ascii="仿宋" w:hAnsi="仿宋" w:eastAsia="仿宋" w:cs="仿宋"/>
                <w:color w:val="000000"/>
                <w:kern w:val="0"/>
                <w:sz w:val="22"/>
                <w:szCs w:val="22"/>
                <w:lang w:bidi="ar"/>
              </w:rPr>
            </w:pPr>
          </w:p>
        </w:tc>
      </w:tr>
      <w:tr w14:paraId="76BF4311">
        <w:tblPrEx>
          <w:tblCellMar>
            <w:top w:w="0" w:type="dxa"/>
            <w:left w:w="108" w:type="dxa"/>
            <w:bottom w:w="0" w:type="dxa"/>
            <w:right w:w="108" w:type="dxa"/>
          </w:tblCellMar>
        </w:tblPrEx>
        <w:trPr>
          <w:trHeight w:val="737" w:hRule="exact"/>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9C1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25-28支队</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BA59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A、B、C、D、E、F、G</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F6B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w:t>
            </w:r>
          </w:p>
        </w:tc>
        <w:tc>
          <w:tcPr>
            <w:tcW w:w="3084" w:type="dxa"/>
            <w:vMerge w:val="continue"/>
            <w:tcBorders>
              <w:left w:val="single" w:color="000000" w:sz="4" w:space="0"/>
              <w:right w:val="single" w:color="000000" w:sz="4" w:space="0"/>
            </w:tcBorders>
            <w:shd w:val="clear" w:color="auto" w:fill="auto"/>
            <w:noWrap/>
            <w:vAlign w:val="center"/>
          </w:tcPr>
          <w:p w14:paraId="384DBC88">
            <w:pPr>
              <w:widowControl/>
              <w:jc w:val="center"/>
              <w:textAlignment w:val="center"/>
              <w:rPr>
                <w:rFonts w:ascii="仿宋" w:hAnsi="仿宋" w:eastAsia="仿宋" w:cs="仿宋"/>
                <w:color w:val="000000"/>
                <w:kern w:val="0"/>
                <w:sz w:val="22"/>
                <w:szCs w:val="22"/>
                <w:lang w:bidi="ar"/>
              </w:rPr>
            </w:pPr>
          </w:p>
        </w:tc>
      </w:tr>
      <w:tr w14:paraId="3139C21B">
        <w:tblPrEx>
          <w:tblCellMar>
            <w:top w:w="0" w:type="dxa"/>
            <w:left w:w="108" w:type="dxa"/>
            <w:bottom w:w="0" w:type="dxa"/>
            <w:right w:w="108" w:type="dxa"/>
          </w:tblCellMar>
        </w:tblPrEx>
        <w:trPr>
          <w:trHeight w:val="737" w:hRule="exact"/>
          <w:jc w:val="center"/>
        </w:trPr>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A61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29-32支队</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99E8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A、B、C、D、E、F、G、H</w:t>
            </w:r>
          </w:p>
        </w:tc>
        <w:tc>
          <w:tcPr>
            <w:tcW w:w="11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DF28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w:t>
            </w:r>
          </w:p>
        </w:tc>
        <w:tc>
          <w:tcPr>
            <w:tcW w:w="3084" w:type="dxa"/>
            <w:vMerge w:val="continue"/>
            <w:tcBorders>
              <w:left w:val="single" w:color="000000" w:sz="4" w:space="0"/>
              <w:bottom w:val="single" w:color="000000" w:sz="4" w:space="0"/>
              <w:right w:val="single" w:color="000000" w:sz="4" w:space="0"/>
            </w:tcBorders>
            <w:shd w:val="clear" w:color="auto" w:fill="auto"/>
            <w:noWrap/>
            <w:vAlign w:val="center"/>
          </w:tcPr>
          <w:p w14:paraId="1636D504">
            <w:pPr>
              <w:widowControl/>
              <w:jc w:val="center"/>
              <w:textAlignment w:val="center"/>
              <w:rPr>
                <w:rFonts w:ascii="仿宋" w:hAnsi="仿宋" w:eastAsia="仿宋" w:cs="仿宋"/>
                <w:color w:val="000000"/>
                <w:kern w:val="0"/>
                <w:sz w:val="22"/>
                <w:szCs w:val="22"/>
                <w:lang w:bidi="ar"/>
              </w:rPr>
            </w:pPr>
          </w:p>
        </w:tc>
      </w:tr>
    </w:tbl>
    <w:p w14:paraId="5082DCA3">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（五）决定名次办法</w:t>
      </w:r>
    </w:p>
    <w:p w14:paraId="69C70FBC">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1.单循环比赛：每队胜一场得3分，负一场得0分，如比赛规定时间内平局直接进行点球决胜（11人制、8人制均采用5+1），胜方得2分，负方得0分，积分多者名次列前。</w:t>
      </w:r>
    </w:p>
    <w:p w14:paraId="7B40487E">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如果两队或两队以上积分相等，依下列顺序排列名次：</w:t>
      </w:r>
    </w:p>
    <w:p w14:paraId="2DE88F94">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（1）积分相等队之间相互比赛积分多者，名次列前；</w:t>
      </w:r>
    </w:p>
    <w:p w14:paraId="7EF486B5">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（2）积分相等队之间相互比赛净胜球多者，名次列前；</w:t>
      </w:r>
    </w:p>
    <w:p w14:paraId="4A310605">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（3）积分相等队之间相互比赛进球数多者，名次列前；</w:t>
      </w:r>
    </w:p>
    <w:p w14:paraId="408DC18D">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如使用以上方法后，仍有2支或2支以上队伍排名相等，则相等队伍再使用以上方法进行排名。如仍相等，则按以下办法继续计算排名：</w:t>
      </w:r>
    </w:p>
    <w:p w14:paraId="61BAF58A">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（4）积分相等队在同一循环比赛中净胜球数多者，名次列前；</w:t>
      </w:r>
    </w:p>
    <w:p w14:paraId="078D9B19">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（5）积分相等队在同一循环比赛中进球总数多者，名次列前；</w:t>
      </w:r>
    </w:p>
    <w:p w14:paraId="0A13AA8D">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（6）如仍相等，以抽签形式决定名次。</w:t>
      </w:r>
    </w:p>
    <w:p w14:paraId="7135DFD7">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2.如以上队伍有出现弃赛情况的，将列同名次队伍的最后。</w:t>
      </w:r>
    </w:p>
    <w:p w14:paraId="1E156181">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3.淘汰赛：每场比赛必须决出胜负，如比赛规定时间内为平局，则直接以点球决胜决出胜负。</w:t>
      </w:r>
    </w:p>
    <w:p w14:paraId="3C18DFE3">
      <w:pPr>
        <w:snapToGrid w:val="0"/>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4.如不同小组队伍需比较小组赛成绩且队伍数不相等、各组同名次参赛球队的比赛场数也不同时，为了保证公平，所有参赛球队在相同数量的比赛场次上比较，而且其数量由竞赛委员会决定。原则上，为此排名需要，涉及到的参赛球队与其所在的小组最后一名参赛球队之间的结果应被视为无效和无关。</w:t>
      </w:r>
    </w:p>
    <w:p w14:paraId="43E5EF1F">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（六）其他规定</w:t>
      </w:r>
    </w:p>
    <w:p w14:paraId="738913F9">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1.甲、乙、丙组比赛用5号球，丁组用4号球。</w:t>
      </w:r>
    </w:p>
    <w:p w14:paraId="7A1B9F38">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2.比赛时间</w:t>
      </w:r>
    </w:p>
    <w:p w14:paraId="785DBD82">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（1）甲组为90分钟（45×2）</w:t>
      </w:r>
    </w:p>
    <w:p w14:paraId="5642D4F3">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（2）乙组为80分钟（40×2）</w:t>
      </w:r>
    </w:p>
    <w:p w14:paraId="4B45C5C5">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（3）丙组为70分钟（35×2）</w:t>
      </w:r>
    </w:p>
    <w:p w14:paraId="019C0147">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（4）丁组为60分钟（30×2）</w:t>
      </w:r>
    </w:p>
    <w:p w14:paraId="0D2E7515">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（5）各组别中场休息均不超过10分钟。</w:t>
      </w:r>
    </w:p>
    <w:p w14:paraId="2EAA2F59">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3.各队须准备两套不同颜色的比赛服和护袜，全队每场比赛服颜色必须统一，守门员的衣、裤颜色必须与其他队员服装的颜色有明显区别。队员如果穿紧身运动衣，其袖子的颜色应与运动上衣袖子的主色或款式相同；如果穿紧身运动裤，必须与比赛短裤的主色同一颜色。原则上，比赛队名在前者穿深色比赛服，后者穿浅色比赛服。关于比赛服的颜色由现场比赛监督最终确定。</w:t>
      </w:r>
    </w:p>
    <w:p w14:paraId="1937E2B8">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4.球衣号码为1-99号，其中1号必须为守门员。比赛服号码必须与报名单上的号码一致，号码不符或无号码者不得上场。</w:t>
      </w:r>
    </w:p>
    <w:p w14:paraId="7A6154B8">
      <w:pPr>
        <w:spacing w:line="560" w:lineRule="exact"/>
        <w:ind w:firstLine="560" w:firstLineChars="200"/>
        <w:rPr>
          <w:rFonts w:ascii="仿宋" w:hAnsi="仿宋" w:eastAsia="仿宋" w:cs="仿宋"/>
          <w:bCs/>
          <w:kern w:val="44"/>
          <w:sz w:val="28"/>
          <w:szCs w:val="28"/>
          <w:highlight w:val="yellow"/>
        </w:rPr>
      </w:pPr>
      <w:r>
        <w:rPr>
          <w:rFonts w:hint="eastAsia" w:ascii="仿宋" w:hAnsi="仿宋" w:eastAsia="仿宋" w:cs="仿宋"/>
          <w:bCs/>
          <w:kern w:val="44"/>
          <w:sz w:val="28"/>
          <w:szCs w:val="28"/>
        </w:rPr>
        <w:t>5.比赛时，运动员必须穿除钢钉外的足球鞋、带护腿板（不得穿戴危及自身及他人的装备和饰物）。丁组比赛场地为人造草的，上场运动员须穿TF款足球鞋；比赛场地为天然草的，上场运动员须穿AG或MG款足球鞋。违者均不得上场比赛。</w:t>
      </w:r>
    </w:p>
    <w:p w14:paraId="1641B14E">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6.场上队长必须自备6厘米宽，与上衣颜色有明显区别的袖标。</w:t>
      </w:r>
    </w:p>
    <w:p w14:paraId="20C56197">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7.各队须在赛前60分钟到达比赛场地，完成足球中国APP系统上场队员和替补队员名单的填报。未列入球队名单的队员及球队官员不得进入替补席及参与比赛。</w:t>
      </w:r>
    </w:p>
    <w:p w14:paraId="63C5DC16">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8.替换程序</w:t>
      </w:r>
    </w:p>
    <w:p w14:paraId="2FDCD401">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（1）11人制比赛：每场比赛队伍可从赛前提交的9名替补队员中替换7名队员。</w:t>
      </w:r>
    </w:p>
    <w:p w14:paraId="59EAD414">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（2）8人制比赛：每场比赛队伍可从赛前提交的7名替补队员中替换5名队员。</w:t>
      </w:r>
    </w:p>
    <w:p w14:paraId="0926B3CC">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（3）比赛中，每队最多可执行3次替换程序，在中场休息阶段可执行额外的替换程序，未进入球队名单的队员不得进行替换。被替换下场的队员不得重新替补上场。</w:t>
      </w:r>
    </w:p>
    <w:p w14:paraId="2B15AEB0">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9.比赛执行脑震荡换人程序。为保障青少年运动员身心健康，比赛中球队使用脑震荡换人换下的运动员，在下一轮比赛自然休赛一场。</w:t>
      </w:r>
    </w:p>
    <w:p w14:paraId="5F8C13C3">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10.第四官员席面向场地的左侧为主队替补席。</w:t>
      </w:r>
    </w:p>
    <w:p w14:paraId="4190553E">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11.遇雷暴天气、场地积水等突发情况，由竞委会决定比赛是否进行，未接竞委会通知仍应按时参加比赛。补赛由竞委会另行安排。正在进行中的比赛，因突发情况中止，应在72小时内安排比赛，补足剩余比赛时间。超过时限的将另行安排重赛。</w:t>
      </w:r>
    </w:p>
    <w:p w14:paraId="77155293">
      <w:pPr>
        <w:adjustRightInd w:val="0"/>
        <w:snapToGrid w:val="0"/>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（七）弃权规定</w:t>
      </w:r>
    </w:p>
    <w:p w14:paraId="44209855">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1.除不可抗力因素外，凡迟到15分钟（含）以上抵达赛场的参赛队则被判为弃权，该场比赛结果按弃权方计0:3告负（比分不计入进球数）。</w:t>
      </w:r>
    </w:p>
    <w:p w14:paraId="4FE55988">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2.比赛开始时,凡11人制比赛首发人数少于11人，或8人制比赛首发人数少于8人的参赛队则被判为弃权，判该场比赛结果按弃权方计0:3告负（比分不计入进球数）。</w:t>
      </w:r>
    </w:p>
    <w:p w14:paraId="04179138">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33BF76F1">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（一）各组别录取前12名，不足12队参赛的，则按实际参赛队数录取名次。</w:t>
      </w:r>
    </w:p>
    <w:p w14:paraId="6F9B5EA2">
      <w:pPr>
        <w:spacing w:line="560" w:lineRule="exact"/>
        <w:ind w:firstLine="560" w:firstLineChars="200"/>
        <w:rPr>
          <w:rFonts w:ascii="仿宋" w:hAnsi="仿宋" w:eastAsia="仿宋" w:cs="仿宋"/>
          <w:bCs/>
          <w:kern w:val="44"/>
          <w:sz w:val="28"/>
          <w:szCs w:val="28"/>
        </w:rPr>
      </w:pPr>
      <w:r>
        <w:rPr>
          <w:rFonts w:hint="eastAsia" w:ascii="仿宋" w:hAnsi="仿宋" w:eastAsia="仿宋" w:cs="仿宋"/>
          <w:sz w:val="28"/>
          <w:szCs w:val="28"/>
        </w:rPr>
        <w:t>（二）有12队以上（含12队）参赛的，</w:t>
      </w:r>
      <w:r>
        <w:rPr>
          <w:rFonts w:hint="eastAsia" w:ascii="仿宋" w:hAnsi="仿宋" w:eastAsia="仿宋" w:cs="仿宋"/>
          <w:bCs/>
          <w:kern w:val="44"/>
          <w:sz w:val="28"/>
          <w:szCs w:val="28"/>
        </w:rPr>
        <w:t>前4名依次按5金、3金、2金、1金计牌，前12名，各名次依次按55、45、40、35、30、25、20、15、12、9、6、3计分；有3至11个队参赛的，前4名依次按4金、2金、1金、0.5金计牌，前11名依次按44、36、32、28、24、20、16、12、8、4、2计分。</w:t>
      </w:r>
    </w:p>
    <w:p w14:paraId="6CDAFC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6FB1628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（一）对运动员、教练员、裁判员和体育赛事组织者违反本届运动会赛风赛纪情形，一经查实，按照《上海市体育赛事活动赛风赛纪管理实施细则》</w:t>
      </w:r>
      <w:r>
        <w:rPr>
          <w:rFonts w:hint="eastAsia" w:ascii="仿宋" w:hAnsi="仿宋" w:eastAsia="仿宋" w:cs="仿宋"/>
          <w:bCs/>
          <w:kern w:val="44"/>
          <w:sz w:val="28"/>
          <w:szCs w:val="28"/>
        </w:rPr>
        <w:t>《上海市足球协会纪律准则》</w:t>
      </w:r>
      <w:r>
        <w:rPr>
          <w:rFonts w:hint="eastAsia" w:ascii="仿宋" w:hAnsi="仿宋" w:eastAsia="仿宋" w:cs="仿宋"/>
          <w:sz w:val="28"/>
          <w:szCs w:val="28"/>
        </w:rPr>
        <w:t>及市运会组委会有关规定处罚。对发生任何兴奋剂违规事件的，按照国家体育总局、上海市体育局反兴奋剂相关规定进行处罚。</w:t>
      </w:r>
    </w:p>
    <w:p w14:paraId="04CC2B4B">
      <w:pPr>
        <w:adjustRightInd w:val="0"/>
        <w:snapToGrid w:val="0"/>
        <w:spacing w:line="540" w:lineRule="exact"/>
        <w:ind w:firstLine="560" w:firstLineChars="200"/>
        <w:rPr>
          <w:rFonts w:ascii="仿宋" w:hAnsi="仿宋" w:eastAsia="仿宋" w:cs="仿宋"/>
          <w:bCs/>
          <w:kern w:val="44"/>
          <w:sz w:val="28"/>
          <w:szCs w:val="28"/>
        </w:rPr>
      </w:pPr>
      <w:r>
        <w:rPr>
          <w:rFonts w:hint="eastAsia" w:ascii="仿宋" w:hAnsi="仿宋" w:eastAsia="仿宋" w:cs="仿宋"/>
          <w:sz w:val="28"/>
          <w:szCs w:val="28"/>
        </w:rPr>
        <w:t>（二）比赛期间有异议须申诉的，</w:t>
      </w:r>
      <w:r>
        <w:rPr>
          <w:rFonts w:hint="eastAsia" w:ascii="仿宋" w:hAnsi="仿宋" w:eastAsia="仿宋" w:cs="仿宋"/>
          <w:bCs/>
          <w:kern w:val="44"/>
          <w:sz w:val="28"/>
          <w:szCs w:val="28"/>
        </w:rPr>
        <w:t>按照国家体育总局和中国足球协会相关规定执行。</w:t>
      </w:r>
    </w:p>
    <w:p w14:paraId="4D7B9A1D">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（三）如纪律委员会未追加处罚，运动员被裁判员出示1张红牌或累计2张黄牌者，自动停赛1场。</w:t>
      </w:r>
    </w:p>
    <w:p w14:paraId="01834C29">
      <w:pPr>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（四）凡报名后无故退赛的或弃权2场比赛的球队，则取消该队比赛资格，全部成绩无效。</w:t>
      </w:r>
    </w:p>
    <w:p w14:paraId="0545119D">
      <w:pPr>
        <w:adjustRightInd w:val="0"/>
        <w:snapToGrid w:val="0"/>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（五）运动员在场上不服从裁判员的判决，致比赛中断超过裁判员认定的时间5分钟仍未恢复比赛的，视为罢赛。罢赛的队除按相关纪律规定处罚外，取消该队比赛资格，全部成绩无效。</w:t>
      </w:r>
    </w:p>
    <w:p w14:paraId="1D7ECD7B">
      <w:pPr>
        <w:adjustRightInd w:val="0"/>
        <w:snapToGrid w:val="0"/>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六）运动员、球队工作人员和随行家长、随队观众，无论在比赛中或比赛前、比赛后、场内、场外，如有辱骂、殴打或踢对方运动员、工作人员、裁判员、观众等情形，将按相关规定严肃处罚，并取消该队相关奖项评选资格。</w:t>
      </w:r>
    </w:p>
    <w:p w14:paraId="241C7786">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（七）兴奋剂检查和处罚按照国家体育总局、上海市体育局有关规定执行。</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7A3F3D38">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（一）比赛监督、竞赛管理人员由上海市足球协会竞赛部选派。</w:t>
      </w:r>
    </w:p>
    <w:p w14:paraId="324794D3">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（二）裁判长和裁判员由上海市足球协会裁委会选派。</w:t>
      </w:r>
    </w:p>
    <w:p w14:paraId="5E62E878">
      <w:pPr>
        <w:adjustRightInd w:val="0"/>
        <w:snapToGrid w:val="0"/>
        <w:spacing w:line="54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（三）仲裁委员会成员由上海市足球协会委派。</w:t>
      </w:r>
    </w:p>
    <w:p w14:paraId="182FF6AD">
      <w:pPr>
        <w:adjustRightInd w:val="0"/>
        <w:snapToGrid w:val="0"/>
        <w:spacing w:line="540" w:lineRule="exact"/>
        <w:ind w:firstLine="562" w:firstLineChars="200"/>
        <w:rPr>
          <w:rFonts w:ascii="仿宋" w:hAnsi="仿宋" w:eastAsia="仿宋" w:cs="仿宋"/>
          <w:bCs/>
          <w:kern w:val="44"/>
          <w:sz w:val="28"/>
          <w:szCs w:val="28"/>
        </w:rPr>
      </w:pPr>
      <w:r>
        <w:rPr>
          <w:rFonts w:hint="eastAsia" w:ascii="仿宋" w:hAnsi="仿宋" w:eastAsia="仿宋" w:cs="仿宋"/>
          <w:b/>
          <w:sz w:val="28"/>
          <w:szCs w:val="28"/>
        </w:rPr>
        <w:t>十四、运动员技术等级授予</w:t>
      </w:r>
    </w:p>
    <w:p w14:paraId="4A80DC8A">
      <w:pPr>
        <w:spacing w:line="560" w:lineRule="exact"/>
        <w:ind w:firstLine="560" w:firstLineChars="200"/>
        <w:rPr>
          <w:rFonts w:ascii="仿宋" w:hAnsi="仿宋" w:eastAsia="仿宋" w:cs="仿宋"/>
          <w:bCs/>
          <w:kern w:val="44"/>
          <w:sz w:val="28"/>
          <w:szCs w:val="28"/>
        </w:rPr>
      </w:pPr>
      <w:r>
        <w:rPr>
          <w:rFonts w:hint="eastAsia" w:ascii="仿宋" w:hAnsi="仿宋" w:eastAsia="仿宋" w:cs="仿宋"/>
          <w:bCs/>
          <w:kern w:val="44"/>
          <w:sz w:val="28"/>
          <w:szCs w:val="28"/>
        </w:rPr>
        <w:t>本次比赛甲、乙组列入《2026年度上海市可授予足球运动员技术等级赛事目录》，获得相应名次的单位可根据《中国足球协会足球运动员技术等级管理规定（2026版）》及相关规定为所属运动员申报相应等级。</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r>
        <w:rPr>
          <w:rFonts w:hint="eastAsia" w:ascii="仿宋" w:hAnsi="仿宋" w:eastAsia="仿宋" w:cs="仿宋"/>
          <w:b/>
          <w:sz w:val="28"/>
          <w:szCs w:val="28"/>
        </w:rPr>
        <w:tab/>
      </w:r>
    </w:p>
    <w:p w14:paraId="3214C47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4DB56B33">
      <w:pPr>
        <w:adjustRightInd w:val="0"/>
        <w:snapToGrid w:val="0"/>
        <w:spacing w:line="540" w:lineRule="exact"/>
        <w:ind w:firstLine="560" w:firstLineChars="200"/>
        <w:rPr>
          <w:rFonts w:ascii="仿宋" w:hAnsi="仿宋" w:eastAsia="仿宋" w:cs="仿宋"/>
          <w:bCs/>
          <w:kern w:val="44"/>
          <w:sz w:val="28"/>
          <w:szCs w:val="28"/>
        </w:rPr>
      </w:pPr>
      <w:r>
        <w:rPr>
          <w:rFonts w:hint="eastAsia" w:ascii="仿宋" w:hAnsi="仿宋" w:eastAsia="仿宋" w:cs="仿宋"/>
          <w:color w:val="000000"/>
          <w:sz w:val="28"/>
          <w:szCs w:val="28"/>
        </w:rPr>
        <w:t>（三）本竞赛规程的解释权属本届市运会组委会。</w:t>
      </w: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46B19"/>
    <w:rsid w:val="007F50F7"/>
    <w:rsid w:val="00895CBE"/>
    <w:rsid w:val="00914D62"/>
    <w:rsid w:val="00BE332C"/>
    <w:rsid w:val="00CE7A73"/>
    <w:rsid w:val="020B640B"/>
    <w:rsid w:val="02110387"/>
    <w:rsid w:val="02410D6E"/>
    <w:rsid w:val="02BE68F5"/>
    <w:rsid w:val="03004097"/>
    <w:rsid w:val="032F3D74"/>
    <w:rsid w:val="03F44718"/>
    <w:rsid w:val="04901093"/>
    <w:rsid w:val="049A551A"/>
    <w:rsid w:val="04BD5D20"/>
    <w:rsid w:val="053C0C8A"/>
    <w:rsid w:val="05825B96"/>
    <w:rsid w:val="05BB42A5"/>
    <w:rsid w:val="0731197B"/>
    <w:rsid w:val="08516A2B"/>
    <w:rsid w:val="098406D7"/>
    <w:rsid w:val="09F91D86"/>
    <w:rsid w:val="0AC1589A"/>
    <w:rsid w:val="0B436951"/>
    <w:rsid w:val="0B4E5BBB"/>
    <w:rsid w:val="0BF26D1C"/>
    <w:rsid w:val="0D093F37"/>
    <w:rsid w:val="0D8B3E92"/>
    <w:rsid w:val="0DE04889"/>
    <w:rsid w:val="0F412B9F"/>
    <w:rsid w:val="0F5337A0"/>
    <w:rsid w:val="100959DA"/>
    <w:rsid w:val="108E79E5"/>
    <w:rsid w:val="1321648C"/>
    <w:rsid w:val="13F37300"/>
    <w:rsid w:val="14EB16BD"/>
    <w:rsid w:val="1550042A"/>
    <w:rsid w:val="15787ABD"/>
    <w:rsid w:val="15916CB7"/>
    <w:rsid w:val="15955128"/>
    <w:rsid w:val="17365E81"/>
    <w:rsid w:val="177362FC"/>
    <w:rsid w:val="17A10E21"/>
    <w:rsid w:val="17F92A0B"/>
    <w:rsid w:val="18430EA9"/>
    <w:rsid w:val="18E92B27"/>
    <w:rsid w:val="19062F7F"/>
    <w:rsid w:val="197B7106"/>
    <w:rsid w:val="1B040E0E"/>
    <w:rsid w:val="1B3F5CFC"/>
    <w:rsid w:val="1B696DDF"/>
    <w:rsid w:val="1B866E0B"/>
    <w:rsid w:val="1BF754B3"/>
    <w:rsid w:val="1C215979"/>
    <w:rsid w:val="1CB6711D"/>
    <w:rsid w:val="1D365B46"/>
    <w:rsid w:val="1DEF0B38"/>
    <w:rsid w:val="1E520C03"/>
    <w:rsid w:val="1F3A2287"/>
    <w:rsid w:val="20990887"/>
    <w:rsid w:val="20AE38D7"/>
    <w:rsid w:val="20FA63B8"/>
    <w:rsid w:val="21627873"/>
    <w:rsid w:val="21F7445F"/>
    <w:rsid w:val="22105FB5"/>
    <w:rsid w:val="22295698"/>
    <w:rsid w:val="223B434C"/>
    <w:rsid w:val="2254238D"/>
    <w:rsid w:val="225E44DE"/>
    <w:rsid w:val="22AC524A"/>
    <w:rsid w:val="234A4512"/>
    <w:rsid w:val="237017BB"/>
    <w:rsid w:val="24041085"/>
    <w:rsid w:val="24822706"/>
    <w:rsid w:val="24AA3A0B"/>
    <w:rsid w:val="251A588B"/>
    <w:rsid w:val="263962C5"/>
    <w:rsid w:val="267F63A9"/>
    <w:rsid w:val="274417F4"/>
    <w:rsid w:val="277C54FE"/>
    <w:rsid w:val="27E104BB"/>
    <w:rsid w:val="27E2526A"/>
    <w:rsid w:val="288C6022"/>
    <w:rsid w:val="28FC23EA"/>
    <w:rsid w:val="292E1617"/>
    <w:rsid w:val="29B11398"/>
    <w:rsid w:val="29FA689B"/>
    <w:rsid w:val="2ABD1E95"/>
    <w:rsid w:val="2AC06747"/>
    <w:rsid w:val="2AD03A9F"/>
    <w:rsid w:val="2B6366C1"/>
    <w:rsid w:val="2B770F5A"/>
    <w:rsid w:val="2BEC516F"/>
    <w:rsid w:val="2D141E97"/>
    <w:rsid w:val="2D351124"/>
    <w:rsid w:val="2D6D3827"/>
    <w:rsid w:val="2E1F6AAD"/>
    <w:rsid w:val="2E941A27"/>
    <w:rsid w:val="2EA75890"/>
    <w:rsid w:val="2EB25002"/>
    <w:rsid w:val="2FAF6379"/>
    <w:rsid w:val="2FC040E2"/>
    <w:rsid w:val="30583189"/>
    <w:rsid w:val="315D609C"/>
    <w:rsid w:val="31633586"/>
    <w:rsid w:val="318C4FEE"/>
    <w:rsid w:val="31A57022"/>
    <w:rsid w:val="32C20171"/>
    <w:rsid w:val="32CC70CF"/>
    <w:rsid w:val="33724FE6"/>
    <w:rsid w:val="341963CA"/>
    <w:rsid w:val="34394463"/>
    <w:rsid w:val="348C6C89"/>
    <w:rsid w:val="34E5052A"/>
    <w:rsid w:val="3521575F"/>
    <w:rsid w:val="36B41221"/>
    <w:rsid w:val="37616154"/>
    <w:rsid w:val="376A540A"/>
    <w:rsid w:val="386C4240"/>
    <w:rsid w:val="38AB56C9"/>
    <w:rsid w:val="398D44B8"/>
    <w:rsid w:val="3A0D768C"/>
    <w:rsid w:val="3A8B0E13"/>
    <w:rsid w:val="3B4B7FBA"/>
    <w:rsid w:val="3C297D8D"/>
    <w:rsid w:val="3C8F7420"/>
    <w:rsid w:val="3D384516"/>
    <w:rsid w:val="3D8726E3"/>
    <w:rsid w:val="3DA6605B"/>
    <w:rsid w:val="3DB97020"/>
    <w:rsid w:val="3EB442D9"/>
    <w:rsid w:val="3FBA0F77"/>
    <w:rsid w:val="4081341A"/>
    <w:rsid w:val="40D07EFD"/>
    <w:rsid w:val="40D93256"/>
    <w:rsid w:val="41147E46"/>
    <w:rsid w:val="418C76D1"/>
    <w:rsid w:val="41B94E35"/>
    <w:rsid w:val="42BF1091"/>
    <w:rsid w:val="43621AD5"/>
    <w:rsid w:val="441E3263"/>
    <w:rsid w:val="445B7143"/>
    <w:rsid w:val="44953938"/>
    <w:rsid w:val="44FF679B"/>
    <w:rsid w:val="45BF3599"/>
    <w:rsid w:val="45D65FB6"/>
    <w:rsid w:val="468C4410"/>
    <w:rsid w:val="46CC73B9"/>
    <w:rsid w:val="476624D1"/>
    <w:rsid w:val="49775228"/>
    <w:rsid w:val="4AC23038"/>
    <w:rsid w:val="4B3137CD"/>
    <w:rsid w:val="4BC108B4"/>
    <w:rsid w:val="4BFE6E56"/>
    <w:rsid w:val="4C9E4397"/>
    <w:rsid w:val="4CF65190"/>
    <w:rsid w:val="4D051F7F"/>
    <w:rsid w:val="4D0D6CD7"/>
    <w:rsid w:val="4DA640F1"/>
    <w:rsid w:val="4DBA0CAF"/>
    <w:rsid w:val="4E0631B0"/>
    <w:rsid w:val="4E2D03EE"/>
    <w:rsid w:val="4E393586"/>
    <w:rsid w:val="4F0E4C1B"/>
    <w:rsid w:val="4FF20A93"/>
    <w:rsid w:val="50105068"/>
    <w:rsid w:val="50236F88"/>
    <w:rsid w:val="511A7415"/>
    <w:rsid w:val="51312C3A"/>
    <w:rsid w:val="518E5997"/>
    <w:rsid w:val="51AD0D8D"/>
    <w:rsid w:val="51FF14CF"/>
    <w:rsid w:val="528B16EF"/>
    <w:rsid w:val="52D6392F"/>
    <w:rsid w:val="549A0D3A"/>
    <w:rsid w:val="55AA0117"/>
    <w:rsid w:val="57581270"/>
    <w:rsid w:val="579B2D6B"/>
    <w:rsid w:val="57C41CE6"/>
    <w:rsid w:val="58281E21"/>
    <w:rsid w:val="59153445"/>
    <w:rsid w:val="5C0F7E0F"/>
    <w:rsid w:val="5C1D6157"/>
    <w:rsid w:val="5C4E04C2"/>
    <w:rsid w:val="5C9258C7"/>
    <w:rsid w:val="5CBE532C"/>
    <w:rsid w:val="5D13367D"/>
    <w:rsid w:val="5FE94910"/>
    <w:rsid w:val="5FF76DFD"/>
    <w:rsid w:val="61245666"/>
    <w:rsid w:val="6247417E"/>
    <w:rsid w:val="625473BB"/>
    <w:rsid w:val="62B47227"/>
    <w:rsid w:val="62CF5E0F"/>
    <w:rsid w:val="62F67840"/>
    <w:rsid w:val="63536A40"/>
    <w:rsid w:val="639608BB"/>
    <w:rsid w:val="63CE60C7"/>
    <w:rsid w:val="63E87188"/>
    <w:rsid w:val="648A1E09"/>
    <w:rsid w:val="64DF0375"/>
    <w:rsid w:val="659B5266"/>
    <w:rsid w:val="65CD6E9C"/>
    <w:rsid w:val="662C1615"/>
    <w:rsid w:val="66756CCD"/>
    <w:rsid w:val="667E623C"/>
    <w:rsid w:val="67D22629"/>
    <w:rsid w:val="681544B3"/>
    <w:rsid w:val="696D03C4"/>
    <w:rsid w:val="69C3534C"/>
    <w:rsid w:val="69F633EA"/>
    <w:rsid w:val="6A0600AE"/>
    <w:rsid w:val="6A7C7E1F"/>
    <w:rsid w:val="6B5A5F95"/>
    <w:rsid w:val="6C2B3DC4"/>
    <w:rsid w:val="6C364A41"/>
    <w:rsid w:val="6C506EEC"/>
    <w:rsid w:val="6CC77E37"/>
    <w:rsid w:val="6D140F40"/>
    <w:rsid w:val="6DC9002B"/>
    <w:rsid w:val="6E3D4575"/>
    <w:rsid w:val="6FC427B3"/>
    <w:rsid w:val="71CB581B"/>
    <w:rsid w:val="71D30B44"/>
    <w:rsid w:val="7213715B"/>
    <w:rsid w:val="735C24C4"/>
    <w:rsid w:val="73724CC1"/>
    <w:rsid w:val="7378055C"/>
    <w:rsid w:val="74005A81"/>
    <w:rsid w:val="74051971"/>
    <w:rsid w:val="74116287"/>
    <w:rsid w:val="742E0CAD"/>
    <w:rsid w:val="74654051"/>
    <w:rsid w:val="74BB4445"/>
    <w:rsid w:val="74BE3516"/>
    <w:rsid w:val="74DF5510"/>
    <w:rsid w:val="75646B19"/>
    <w:rsid w:val="75774810"/>
    <w:rsid w:val="75E90A3F"/>
    <w:rsid w:val="763723B2"/>
    <w:rsid w:val="76D8780C"/>
    <w:rsid w:val="777D3C34"/>
    <w:rsid w:val="782B4B43"/>
    <w:rsid w:val="783E7867"/>
    <w:rsid w:val="78443700"/>
    <w:rsid w:val="78AB13DC"/>
    <w:rsid w:val="79877C50"/>
    <w:rsid w:val="7998643B"/>
    <w:rsid w:val="7A3850D5"/>
    <w:rsid w:val="7A3E58FC"/>
    <w:rsid w:val="7A4A42A1"/>
    <w:rsid w:val="7BCE62D7"/>
    <w:rsid w:val="7BDA78A7"/>
    <w:rsid w:val="7C932AB0"/>
    <w:rsid w:val="7CF824EA"/>
    <w:rsid w:val="7D657A65"/>
    <w:rsid w:val="7D6E02A7"/>
    <w:rsid w:val="7D6F3CE8"/>
    <w:rsid w:val="7F7A0B42"/>
    <w:rsid w:val="7FAB6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footnote text"/>
    <w:basedOn w:val="1"/>
    <w:qFormat/>
    <w:uiPriority w:val="99"/>
    <w:pPr>
      <w:snapToGrid w:val="0"/>
      <w:jc w:val="left"/>
    </w:pPr>
    <w:rPr>
      <w:sz w:val="18"/>
      <w:szCs w:val="18"/>
    </w:rPr>
  </w:style>
  <w:style w:type="character" w:styleId="7">
    <w:name w:val="Hyperlink"/>
    <w:basedOn w:val="6"/>
    <w:qFormat/>
    <w:uiPriority w:val="99"/>
    <w:rPr>
      <w:color w:val="0000FF"/>
      <w:u w:val="single"/>
    </w:rPr>
  </w:style>
  <w:style w:type="character" w:styleId="8">
    <w:name w:val="footnote reference"/>
    <w:basedOn w:val="6"/>
    <w:qFormat/>
    <w:uiPriority w:val="99"/>
    <w:rPr>
      <w:vertAlign w:val="superscript"/>
    </w:rPr>
  </w:style>
  <w:style w:type="paragraph" w:styleId="9">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1724</Words>
  <Characters>1874</Characters>
  <Lines>40</Lines>
  <Paragraphs>11</Paragraphs>
  <TotalTime>17</TotalTime>
  <ScaleCrop>false</ScaleCrop>
  <LinksUpToDate>false</LinksUpToDate>
  <CharactersWithSpaces>1896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2026-01-08T01:25:00Z</dcterms:created>
  <dc:creator>Dr.耻樣</dc:creator>
  <cp:lastModifiedBy>翁炜</cp:lastModifiedBy>
  <cp:lastPrinted>2026-01-08T06:39:00Z</cp:lastPrinted>
  <dcterms:modified xsi:type="dcterms:W3CDTF">2026-05-19T07:41:40Z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42F2609E66E94972ACABC9D4F87AC0A4_13</vt:lpwstr>
  </property>
  <property fmtid="{D5CDD505-2E9C-101B-9397-08002B2CF9AE}" pid="4" name="KSOTemplateDocerSaveRecord">
    <vt:lpwstr>eyJoZGlkIjoiMTdmY2UzY2RlMDY5NDAxOGI5YjE0NDllNTgzY2ZlNDEiLCJ1c2VySWQiOiIxNDQ2MzUxODY5In0=</vt:lpwstr>
  </property>
</Properties>
</file>