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B1818">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上海市第十八届运动会高尔夫球比赛（青少年组）</w:t>
      </w:r>
    </w:p>
    <w:p w14:paraId="66A7F655">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54A1FBC3">
      <w:pPr>
        <w:snapToGrid w:val="0"/>
        <w:spacing w:line="540" w:lineRule="exact"/>
        <w:jc w:val="center"/>
        <w:rPr>
          <w:rFonts w:ascii="宋体" w:hAnsi="宋体" w:cs="宋体"/>
          <w:b/>
          <w:bCs/>
          <w:sz w:val="36"/>
          <w:szCs w:val="36"/>
        </w:rPr>
      </w:pPr>
    </w:p>
    <w:p w14:paraId="65443C5B">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05CC6B12">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二、承办单位：</w:t>
      </w:r>
      <w:r>
        <w:rPr>
          <w:rFonts w:hint="eastAsia" w:ascii="仿宋" w:hAnsi="仿宋" w:eastAsia="仿宋" w:cs="仿宋"/>
          <w:sz w:val="28"/>
          <w:szCs w:val="28"/>
        </w:rPr>
        <w:t>上海市高尔夫球协会</w:t>
      </w:r>
    </w:p>
    <w:p w14:paraId="0E343642">
      <w:pPr>
        <w:adjustRightInd w:val="0"/>
        <w:snapToGrid w:val="0"/>
        <w:spacing w:line="540" w:lineRule="exact"/>
        <w:ind w:firstLine="562" w:firstLineChars="200"/>
        <w:rPr>
          <w:rFonts w:hint="eastAsia" w:ascii="仿宋" w:hAnsi="仿宋" w:eastAsia="仿宋" w:cs="仿宋"/>
          <w:sz w:val="28"/>
          <w:szCs w:val="28"/>
          <w:highlight w:val="none"/>
          <w:lang w:eastAsia="zh-CN"/>
        </w:rPr>
      </w:pPr>
      <w:r>
        <w:rPr>
          <w:rFonts w:hint="eastAsia" w:ascii="仿宋" w:hAnsi="仿宋" w:eastAsia="仿宋" w:cs="仿宋"/>
          <w:b/>
          <w:sz w:val="28"/>
          <w:szCs w:val="28"/>
        </w:rPr>
        <w:t>三、协办单</w:t>
      </w:r>
      <w:r>
        <w:rPr>
          <w:rFonts w:hint="eastAsia" w:ascii="仿宋" w:hAnsi="仿宋" w:eastAsia="仿宋" w:cs="仿宋"/>
          <w:b/>
          <w:sz w:val="28"/>
          <w:szCs w:val="28"/>
          <w:highlight w:val="none"/>
        </w:rPr>
        <w:t>位：</w:t>
      </w:r>
      <w:r>
        <w:rPr>
          <w:rFonts w:hint="eastAsia" w:ascii="仿宋" w:hAnsi="仿宋" w:eastAsia="仿宋" w:cs="仿宋"/>
          <w:b w:val="0"/>
          <w:bCs w:val="0"/>
          <w:color w:val="auto"/>
          <w:sz w:val="28"/>
          <w:szCs w:val="28"/>
          <w:highlight w:val="none"/>
        </w:rPr>
        <w:t>上海PGA安瀛高尔夫俱乐部</w:t>
      </w:r>
    </w:p>
    <w:p w14:paraId="0412359B">
      <w:pPr>
        <w:adjustRightInd w:val="0"/>
        <w:snapToGrid w:val="0"/>
        <w:spacing w:line="540" w:lineRule="exact"/>
        <w:ind w:firstLine="562" w:firstLineChars="200"/>
        <w:rPr>
          <w:rFonts w:ascii="仿宋" w:hAnsi="仿宋" w:eastAsia="仿宋" w:cs="仿宋"/>
          <w:sz w:val="28"/>
          <w:szCs w:val="28"/>
          <w:highlight w:val="none"/>
        </w:rPr>
      </w:pPr>
      <w:r>
        <w:rPr>
          <w:rFonts w:hint="eastAsia" w:ascii="仿宋" w:hAnsi="仿宋" w:eastAsia="仿宋" w:cs="仿宋"/>
          <w:b/>
          <w:sz w:val="28"/>
          <w:szCs w:val="28"/>
          <w:highlight w:val="none"/>
        </w:rPr>
        <w:t>四、竞赛日期：</w:t>
      </w:r>
      <w:r>
        <w:rPr>
          <w:rFonts w:hint="eastAsia" w:ascii="仿宋" w:hAnsi="仿宋" w:eastAsia="仿宋" w:cs="仿宋"/>
          <w:sz w:val="28"/>
          <w:szCs w:val="28"/>
          <w:highlight w:val="none"/>
        </w:rPr>
        <w:t>2026年10月</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日</w:t>
      </w:r>
    </w:p>
    <w:p w14:paraId="37749303">
      <w:pPr>
        <w:adjustRightInd w:val="0"/>
        <w:snapToGrid w:val="0"/>
        <w:spacing w:line="540" w:lineRule="exact"/>
        <w:ind w:firstLine="562" w:firstLineChars="2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sz w:val="28"/>
          <w:szCs w:val="28"/>
          <w:highlight w:val="none"/>
        </w:rPr>
        <w:t>五、竞赛地点：</w:t>
      </w:r>
      <w:r>
        <w:rPr>
          <w:rFonts w:hint="eastAsia" w:ascii="仿宋" w:hAnsi="仿宋" w:eastAsia="仿宋" w:cs="仿宋"/>
          <w:b w:val="0"/>
          <w:bCs w:val="0"/>
          <w:color w:val="auto"/>
          <w:sz w:val="28"/>
          <w:szCs w:val="28"/>
          <w:highlight w:val="none"/>
        </w:rPr>
        <w:t>上海PGA安瀛高尔夫俱乐部</w:t>
      </w:r>
      <w:r>
        <w:rPr>
          <w:rFonts w:hint="eastAsia" w:ascii="仿宋_GB2312" w:hAnsi="仿宋_GB2312" w:eastAsia="仿宋_GB2312" w:cs="仿宋_GB2312"/>
          <w:b w:val="0"/>
          <w:bCs w:val="0"/>
          <w:color w:val="auto"/>
          <w:sz w:val="28"/>
          <w:szCs w:val="28"/>
          <w:highlight w:val="none"/>
          <w:lang w:val="en-US" w:eastAsia="zh-CN"/>
        </w:rPr>
        <w:t>森林场+林克斯场</w:t>
      </w:r>
      <w:r>
        <w:rPr>
          <w:rFonts w:hint="eastAsia" w:ascii="仿宋" w:hAnsi="仿宋" w:eastAsia="仿宋" w:cs="仿宋"/>
          <w:b w:val="0"/>
          <w:bCs w:val="0"/>
          <w:color w:val="auto"/>
          <w:sz w:val="28"/>
          <w:szCs w:val="28"/>
          <w:highlight w:val="none"/>
          <w:lang w:val="en-US" w:eastAsia="zh-CN"/>
        </w:rPr>
        <w:t>（上海市崇明区揽海路55弄）</w:t>
      </w:r>
    </w:p>
    <w:p w14:paraId="297F8746">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1C754D4B">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七、年龄组别和小项设置</w:t>
      </w:r>
    </w:p>
    <w:tbl>
      <w:tblPr>
        <w:tblStyle w:val="12"/>
        <w:tblW w:w="7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1931"/>
        <w:gridCol w:w="1178"/>
        <w:gridCol w:w="1735"/>
        <w:gridCol w:w="1723"/>
      </w:tblGrid>
      <w:tr w14:paraId="0A3F6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blHeader/>
          <w:jc w:val="center"/>
        </w:trPr>
        <w:tc>
          <w:tcPr>
            <w:tcW w:w="895" w:type="dxa"/>
            <w:vMerge w:val="restart"/>
            <w:vAlign w:val="center"/>
          </w:tcPr>
          <w:p w14:paraId="5B22E6F3">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r>
              <w:rPr>
                <w:rFonts w:hint="eastAsia" w:ascii="仿宋" w:hAnsi="仿宋" w:eastAsia="仿宋" w:cs="仿宋"/>
                <w:b/>
                <w:bCs/>
                <w:szCs w:val="21"/>
              </w:rPr>
              <w:t>组别</w:t>
            </w:r>
          </w:p>
        </w:tc>
        <w:tc>
          <w:tcPr>
            <w:tcW w:w="1931" w:type="dxa"/>
            <w:vMerge w:val="restart"/>
            <w:vAlign w:val="center"/>
          </w:tcPr>
          <w:p w14:paraId="6502D4A9">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r>
              <w:rPr>
                <w:rFonts w:hint="eastAsia" w:ascii="仿宋" w:hAnsi="仿宋" w:eastAsia="仿宋" w:cs="仿宋"/>
                <w:b/>
                <w:bCs/>
                <w:szCs w:val="21"/>
              </w:rPr>
              <w:t>年龄段</w:t>
            </w:r>
          </w:p>
        </w:tc>
        <w:tc>
          <w:tcPr>
            <w:tcW w:w="1178" w:type="dxa"/>
            <w:vMerge w:val="restart"/>
            <w:vAlign w:val="center"/>
          </w:tcPr>
          <w:p w14:paraId="38A5562D">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r>
              <w:rPr>
                <w:rFonts w:hint="eastAsia" w:ascii="仿宋" w:hAnsi="仿宋" w:eastAsia="仿宋" w:cs="仿宋"/>
                <w:b/>
                <w:bCs/>
                <w:szCs w:val="21"/>
              </w:rPr>
              <w:t>设项数</w:t>
            </w:r>
          </w:p>
        </w:tc>
        <w:tc>
          <w:tcPr>
            <w:tcW w:w="3458" w:type="dxa"/>
            <w:gridSpan w:val="2"/>
            <w:vAlign w:val="center"/>
          </w:tcPr>
          <w:p w14:paraId="39E7BCB6">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r>
              <w:rPr>
                <w:rFonts w:hint="eastAsia" w:ascii="仿宋" w:hAnsi="仿宋" w:eastAsia="仿宋" w:cs="仿宋"/>
                <w:b/>
                <w:bCs/>
                <w:szCs w:val="21"/>
              </w:rPr>
              <w:t>项目设置</w:t>
            </w:r>
          </w:p>
        </w:tc>
      </w:tr>
      <w:tr w14:paraId="2A824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blHeader/>
          <w:jc w:val="center"/>
        </w:trPr>
        <w:tc>
          <w:tcPr>
            <w:tcW w:w="895" w:type="dxa"/>
            <w:vMerge w:val="continue"/>
            <w:vAlign w:val="center"/>
          </w:tcPr>
          <w:p w14:paraId="3E4885BC">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p>
        </w:tc>
        <w:tc>
          <w:tcPr>
            <w:tcW w:w="1931" w:type="dxa"/>
            <w:vMerge w:val="continue"/>
            <w:vAlign w:val="center"/>
          </w:tcPr>
          <w:p w14:paraId="7F3F6598">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p>
        </w:tc>
        <w:tc>
          <w:tcPr>
            <w:tcW w:w="1178" w:type="dxa"/>
            <w:vMerge w:val="continue"/>
            <w:vAlign w:val="center"/>
          </w:tcPr>
          <w:p w14:paraId="3E29726D">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p>
        </w:tc>
        <w:tc>
          <w:tcPr>
            <w:tcW w:w="1735" w:type="dxa"/>
            <w:vAlign w:val="center"/>
          </w:tcPr>
          <w:p w14:paraId="5717A353">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r>
              <w:rPr>
                <w:rFonts w:hint="eastAsia" w:ascii="仿宋" w:hAnsi="仿宋" w:eastAsia="仿宋" w:cs="仿宋"/>
                <w:b/>
                <w:bCs/>
                <w:szCs w:val="21"/>
              </w:rPr>
              <w:t>男子</w:t>
            </w:r>
          </w:p>
        </w:tc>
        <w:tc>
          <w:tcPr>
            <w:tcW w:w="1723" w:type="dxa"/>
            <w:vAlign w:val="center"/>
          </w:tcPr>
          <w:p w14:paraId="40E19E4A">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r>
              <w:rPr>
                <w:rFonts w:hint="eastAsia" w:ascii="仿宋" w:hAnsi="仿宋" w:eastAsia="仿宋" w:cs="仿宋"/>
                <w:b/>
                <w:bCs/>
                <w:szCs w:val="21"/>
              </w:rPr>
              <w:t>女子</w:t>
            </w:r>
          </w:p>
        </w:tc>
      </w:tr>
      <w:tr w14:paraId="152F4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5" w:type="dxa"/>
            <w:vMerge w:val="restart"/>
            <w:vAlign w:val="center"/>
          </w:tcPr>
          <w:p w14:paraId="642C158D">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r>
              <w:rPr>
                <w:rFonts w:hint="eastAsia" w:ascii="仿宋" w:hAnsi="仿宋" w:eastAsia="仿宋" w:cs="仿宋"/>
                <w:b/>
                <w:bCs/>
                <w:szCs w:val="21"/>
              </w:rPr>
              <w:t>A</w:t>
            </w:r>
          </w:p>
        </w:tc>
        <w:tc>
          <w:tcPr>
            <w:tcW w:w="1931" w:type="dxa"/>
            <w:vMerge w:val="restart"/>
            <w:vAlign w:val="center"/>
          </w:tcPr>
          <w:p w14:paraId="0A43AFD9">
            <w:pPr>
              <w:snapToGrid w:val="0"/>
              <w:spacing w:line="240" w:lineRule="auto"/>
              <w:ind w:left="0" w:leftChars="0" w:right="0" w:rightChars="0" w:firstLine="0" w:firstLineChars="0"/>
              <w:jc w:val="center"/>
              <w:rPr>
                <w:rFonts w:ascii="仿宋" w:hAnsi="仿宋" w:eastAsia="仿宋" w:cs="仿宋"/>
                <w:szCs w:val="21"/>
              </w:rPr>
            </w:pPr>
            <w:r>
              <w:rPr>
                <w:rFonts w:hint="eastAsia" w:ascii="仿宋" w:hAnsi="仿宋" w:eastAsia="仿宋" w:cs="仿宋"/>
                <w:szCs w:val="21"/>
              </w:rPr>
              <w:t>08.9.1-12.12.31</w:t>
            </w:r>
          </w:p>
        </w:tc>
        <w:tc>
          <w:tcPr>
            <w:tcW w:w="1178" w:type="dxa"/>
            <w:vMerge w:val="restart"/>
            <w:vAlign w:val="center"/>
          </w:tcPr>
          <w:p w14:paraId="61BDC157">
            <w:pPr>
              <w:tabs>
                <w:tab w:val="left" w:pos="2925"/>
              </w:tabs>
              <w:adjustRightInd w:val="0"/>
              <w:snapToGrid w:val="0"/>
              <w:spacing w:line="240" w:lineRule="auto"/>
              <w:ind w:left="0" w:leftChars="0" w:right="0" w:rightChars="0" w:firstLine="0" w:firstLineChars="0"/>
              <w:jc w:val="center"/>
              <w:rPr>
                <w:rFonts w:ascii="仿宋" w:hAnsi="仿宋" w:eastAsia="仿宋" w:cs="仿宋"/>
                <w:szCs w:val="21"/>
              </w:rPr>
            </w:pPr>
            <w:r>
              <w:rPr>
                <w:rFonts w:hint="eastAsia" w:ascii="仿宋" w:hAnsi="仿宋" w:eastAsia="仿宋" w:cs="仿宋"/>
                <w:szCs w:val="21"/>
              </w:rPr>
              <w:t>3</w:t>
            </w:r>
          </w:p>
        </w:tc>
        <w:tc>
          <w:tcPr>
            <w:tcW w:w="1735" w:type="dxa"/>
            <w:vAlign w:val="center"/>
          </w:tcPr>
          <w:p w14:paraId="47AF1892">
            <w:pPr>
              <w:snapToGrid w:val="0"/>
              <w:spacing w:line="240" w:lineRule="auto"/>
              <w:ind w:left="0" w:leftChars="0" w:right="0" w:rightChars="0" w:firstLine="0" w:firstLineChars="0"/>
              <w:jc w:val="center"/>
              <w:rPr>
                <w:rFonts w:hint="eastAsia" w:ascii="仿宋" w:hAnsi="仿宋" w:eastAsia="仿宋" w:cs="仿宋"/>
                <w:szCs w:val="21"/>
              </w:rPr>
            </w:pPr>
            <w:r>
              <w:rPr>
                <w:rFonts w:hint="eastAsia" w:ascii="仿宋" w:hAnsi="仿宋" w:eastAsia="仿宋" w:cs="仿宋"/>
                <w:szCs w:val="21"/>
              </w:rPr>
              <w:t>个人</w:t>
            </w:r>
          </w:p>
        </w:tc>
        <w:tc>
          <w:tcPr>
            <w:tcW w:w="1723" w:type="dxa"/>
            <w:vAlign w:val="center"/>
          </w:tcPr>
          <w:p w14:paraId="234E7D72">
            <w:pPr>
              <w:snapToGrid w:val="0"/>
              <w:spacing w:line="240" w:lineRule="auto"/>
              <w:ind w:left="0" w:leftChars="0" w:right="0" w:rightChars="0" w:firstLine="0" w:firstLineChars="0"/>
              <w:jc w:val="center"/>
              <w:rPr>
                <w:rFonts w:hint="eastAsia" w:ascii="仿宋" w:hAnsi="仿宋" w:eastAsia="仿宋" w:cs="仿宋"/>
                <w:szCs w:val="21"/>
              </w:rPr>
            </w:pPr>
            <w:r>
              <w:rPr>
                <w:rFonts w:hint="eastAsia" w:ascii="仿宋" w:hAnsi="仿宋" w:eastAsia="仿宋" w:cs="仿宋"/>
                <w:szCs w:val="21"/>
              </w:rPr>
              <w:t>个人</w:t>
            </w:r>
          </w:p>
        </w:tc>
      </w:tr>
      <w:tr w14:paraId="2125E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895" w:type="dxa"/>
            <w:vMerge w:val="continue"/>
            <w:vAlign w:val="center"/>
          </w:tcPr>
          <w:p w14:paraId="50E42F1E">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p>
        </w:tc>
        <w:tc>
          <w:tcPr>
            <w:tcW w:w="1931" w:type="dxa"/>
            <w:vMerge w:val="continue"/>
            <w:vAlign w:val="center"/>
          </w:tcPr>
          <w:p w14:paraId="5CF06E95">
            <w:pPr>
              <w:snapToGrid w:val="0"/>
              <w:spacing w:line="240" w:lineRule="auto"/>
              <w:ind w:left="0" w:leftChars="0" w:right="0" w:rightChars="0" w:firstLine="0" w:firstLineChars="0"/>
              <w:jc w:val="center"/>
              <w:rPr>
                <w:rFonts w:ascii="仿宋" w:hAnsi="仿宋" w:eastAsia="仿宋" w:cs="仿宋"/>
                <w:szCs w:val="21"/>
              </w:rPr>
            </w:pPr>
          </w:p>
        </w:tc>
        <w:tc>
          <w:tcPr>
            <w:tcW w:w="1178" w:type="dxa"/>
            <w:vMerge w:val="continue"/>
            <w:vAlign w:val="center"/>
          </w:tcPr>
          <w:p w14:paraId="0ECF3E6C">
            <w:pPr>
              <w:tabs>
                <w:tab w:val="left" w:pos="2925"/>
              </w:tabs>
              <w:adjustRightInd w:val="0"/>
              <w:snapToGrid w:val="0"/>
              <w:spacing w:line="240" w:lineRule="auto"/>
              <w:ind w:left="0" w:leftChars="0" w:right="0" w:rightChars="0" w:firstLine="0" w:firstLineChars="0"/>
              <w:jc w:val="center"/>
              <w:rPr>
                <w:rFonts w:ascii="仿宋" w:hAnsi="仿宋" w:eastAsia="仿宋" w:cs="仿宋"/>
                <w:szCs w:val="21"/>
              </w:rPr>
            </w:pPr>
          </w:p>
        </w:tc>
        <w:tc>
          <w:tcPr>
            <w:tcW w:w="3458" w:type="dxa"/>
            <w:gridSpan w:val="2"/>
            <w:vAlign w:val="center"/>
          </w:tcPr>
          <w:p w14:paraId="3F9A651D">
            <w:pPr>
              <w:snapToGrid w:val="0"/>
              <w:spacing w:line="240" w:lineRule="auto"/>
              <w:ind w:left="0" w:leftChars="0" w:right="0" w:rightChars="0" w:firstLine="0" w:firstLineChars="0"/>
              <w:jc w:val="center"/>
              <w:rPr>
                <w:rFonts w:hint="eastAsia" w:ascii="仿宋" w:hAnsi="仿宋" w:eastAsia="仿宋" w:cs="仿宋"/>
                <w:szCs w:val="21"/>
              </w:rPr>
            </w:pPr>
            <w:r>
              <w:rPr>
                <w:rFonts w:hint="eastAsia" w:ascii="仿宋" w:hAnsi="仿宋" w:eastAsia="仿宋" w:cs="仿宋"/>
                <w:szCs w:val="21"/>
              </w:rPr>
              <w:t>混合团体</w:t>
            </w:r>
          </w:p>
        </w:tc>
      </w:tr>
      <w:tr w14:paraId="1443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95" w:type="dxa"/>
            <w:vMerge w:val="restart"/>
            <w:vAlign w:val="center"/>
          </w:tcPr>
          <w:p w14:paraId="45F54705">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r>
              <w:rPr>
                <w:rFonts w:hint="eastAsia" w:ascii="仿宋" w:hAnsi="仿宋" w:eastAsia="仿宋" w:cs="仿宋"/>
                <w:b/>
                <w:bCs/>
                <w:szCs w:val="21"/>
              </w:rPr>
              <w:t>B</w:t>
            </w:r>
          </w:p>
        </w:tc>
        <w:tc>
          <w:tcPr>
            <w:tcW w:w="1931" w:type="dxa"/>
            <w:vMerge w:val="restart"/>
            <w:vAlign w:val="center"/>
          </w:tcPr>
          <w:p w14:paraId="6DB26D6B">
            <w:pPr>
              <w:snapToGrid w:val="0"/>
              <w:spacing w:line="240" w:lineRule="auto"/>
              <w:ind w:left="0" w:leftChars="0" w:right="0" w:rightChars="0" w:firstLine="0" w:firstLineChars="0"/>
              <w:jc w:val="center"/>
              <w:rPr>
                <w:rFonts w:ascii="仿宋" w:hAnsi="仿宋" w:eastAsia="仿宋" w:cs="仿宋"/>
                <w:szCs w:val="21"/>
              </w:rPr>
            </w:pPr>
            <w:r>
              <w:rPr>
                <w:rFonts w:hint="eastAsia" w:ascii="仿宋" w:hAnsi="仿宋" w:eastAsia="仿宋" w:cs="仿宋"/>
                <w:szCs w:val="21"/>
              </w:rPr>
              <w:t>13.1.1-15.12.31</w:t>
            </w:r>
          </w:p>
        </w:tc>
        <w:tc>
          <w:tcPr>
            <w:tcW w:w="1178" w:type="dxa"/>
            <w:vMerge w:val="restart"/>
            <w:vAlign w:val="center"/>
          </w:tcPr>
          <w:p w14:paraId="711CA392">
            <w:pPr>
              <w:tabs>
                <w:tab w:val="left" w:pos="2925"/>
              </w:tabs>
              <w:adjustRightInd w:val="0"/>
              <w:snapToGrid w:val="0"/>
              <w:spacing w:line="240" w:lineRule="auto"/>
              <w:ind w:left="0" w:leftChars="0" w:right="0" w:rightChars="0" w:firstLine="0" w:firstLineChars="0"/>
              <w:jc w:val="center"/>
              <w:rPr>
                <w:rFonts w:ascii="仿宋" w:hAnsi="仿宋" w:eastAsia="仿宋" w:cs="仿宋"/>
                <w:szCs w:val="21"/>
              </w:rPr>
            </w:pPr>
            <w:r>
              <w:rPr>
                <w:rFonts w:hint="eastAsia" w:ascii="仿宋" w:hAnsi="仿宋" w:eastAsia="仿宋" w:cs="仿宋"/>
                <w:szCs w:val="21"/>
              </w:rPr>
              <w:t>3</w:t>
            </w:r>
          </w:p>
        </w:tc>
        <w:tc>
          <w:tcPr>
            <w:tcW w:w="1735" w:type="dxa"/>
            <w:vAlign w:val="center"/>
          </w:tcPr>
          <w:p w14:paraId="72BC020F">
            <w:pPr>
              <w:snapToGrid w:val="0"/>
              <w:spacing w:line="240" w:lineRule="auto"/>
              <w:ind w:left="0" w:leftChars="0" w:right="0" w:rightChars="0" w:firstLine="0" w:firstLineChars="0"/>
              <w:jc w:val="center"/>
              <w:rPr>
                <w:rFonts w:hint="eastAsia" w:ascii="仿宋" w:hAnsi="仿宋" w:eastAsia="仿宋" w:cs="仿宋"/>
                <w:szCs w:val="21"/>
              </w:rPr>
            </w:pPr>
            <w:r>
              <w:rPr>
                <w:rFonts w:hint="eastAsia" w:ascii="仿宋" w:hAnsi="仿宋" w:eastAsia="仿宋" w:cs="仿宋"/>
                <w:szCs w:val="21"/>
              </w:rPr>
              <w:t>个人</w:t>
            </w:r>
          </w:p>
        </w:tc>
        <w:tc>
          <w:tcPr>
            <w:tcW w:w="1723" w:type="dxa"/>
            <w:vAlign w:val="center"/>
          </w:tcPr>
          <w:p w14:paraId="31A7FA8D">
            <w:pPr>
              <w:snapToGrid w:val="0"/>
              <w:spacing w:line="240" w:lineRule="auto"/>
              <w:ind w:left="0" w:leftChars="0" w:right="0" w:rightChars="0" w:firstLine="0" w:firstLineChars="0"/>
              <w:jc w:val="center"/>
              <w:rPr>
                <w:rFonts w:hint="eastAsia" w:ascii="仿宋" w:hAnsi="仿宋" w:eastAsia="仿宋" w:cs="仿宋"/>
                <w:szCs w:val="21"/>
              </w:rPr>
            </w:pPr>
            <w:r>
              <w:rPr>
                <w:rFonts w:hint="eastAsia" w:ascii="仿宋" w:hAnsi="仿宋" w:eastAsia="仿宋" w:cs="仿宋"/>
                <w:szCs w:val="21"/>
              </w:rPr>
              <w:t>个人</w:t>
            </w:r>
          </w:p>
        </w:tc>
      </w:tr>
      <w:tr w14:paraId="55345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95" w:type="dxa"/>
            <w:vMerge w:val="continue"/>
            <w:vAlign w:val="center"/>
          </w:tcPr>
          <w:p w14:paraId="07F0B28F">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p>
        </w:tc>
        <w:tc>
          <w:tcPr>
            <w:tcW w:w="1931" w:type="dxa"/>
            <w:vMerge w:val="continue"/>
            <w:vAlign w:val="center"/>
          </w:tcPr>
          <w:p w14:paraId="37FEC030">
            <w:pPr>
              <w:snapToGrid w:val="0"/>
              <w:spacing w:line="240" w:lineRule="auto"/>
              <w:ind w:left="0" w:leftChars="0" w:right="0" w:rightChars="0" w:firstLine="0" w:firstLineChars="0"/>
              <w:jc w:val="center"/>
              <w:rPr>
                <w:rFonts w:ascii="仿宋" w:hAnsi="仿宋" w:eastAsia="仿宋" w:cs="仿宋"/>
                <w:szCs w:val="21"/>
              </w:rPr>
            </w:pPr>
          </w:p>
        </w:tc>
        <w:tc>
          <w:tcPr>
            <w:tcW w:w="1178" w:type="dxa"/>
            <w:vMerge w:val="continue"/>
            <w:vAlign w:val="center"/>
          </w:tcPr>
          <w:p w14:paraId="431FB9AB">
            <w:pPr>
              <w:tabs>
                <w:tab w:val="left" w:pos="2925"/>
              </w:tabs>
              <w:adjustRightInd w:val="0"/>
              <w:snapToGrid w:val="0"/>
              <w:spacing w:line="240" w:lineRule="auto"/>
              <w:ind w:left="0" w:leftChars="0" w:right="0" w:rightChars="0" w:firstLine="0" w:firstLineChars="0"/>
              <w:jc w:val="center"/>
              <w:rPr>
                <w:rFonts w:ascii="仿宋" w:hAnsi="仿宋" w:eastAsia="仿宋" w:cs="仿宋"/>
                <w:szCs w:val="21"/>
              </w:rPr>
            </w:pPr>
          </w:p>
        </w:tc>
        <w:tc>
          <w:tcPr>
            <w:tcW w:w="3458" w:type="dxa"/>
            <w:gridSpan w:val="2"/>
            <w:vAlign w:val="center"/>
          </w:tcPr>
          <w:p w14:paraId="3322B2DC">
            <w:pPr>
              <w:snapToGrid w:val="0"/>
              <w:spacing w:line="240" w:lineRule="auto"/>
              <w:ind w:left="0" w:leftChars="0" w:right="0" w:rightChars="0" w:firstLine="0" w:firstLineChars="0"/>
              <w:jc w:val="center"/>
              <w:rPr>
                <w:rFonts w:hint="eastAsia" w:ascii="仿宋" w:hAnsi="仿宋" w:eastAsia="仿宋" w:cs="仿宋"/>
                <w:szCs w:val="21"/>
              </w:rPr>
            </w:pPr>
            <w:r>
              <w:rPr>
                <w:rFonts w:hint="eastAsia" w:ascii="仿宋" w:hAnsi="仿宋" w:eastAsia="仿宋" w:cs="仿宋"/>
                <w:szCs w:val="21"/>
              </w:rPr>
              <w:t>混合团体</w:t>
            </w:r>
          </w:p>
        </w:tc>
      </w:tr>
      <w:tr w14:paraId="5FF5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95" w:type="dxa"/>
            <w:vMerge w:val="restart"/>
            <w:vAlign w:val="center"/>
          </w:tcPr>
          <w:p w14:paraId="55130C56">
            <w:pPr>
              <w:tabs>
                <w:tab w:val="left" w:pos="2925"/>
              </w:tabs>
              <w:adjustRightInd w:val="0"/>
              <w:snapToGrid w:val="0"/>
              <w:spacing w:line="240" w:lineRule="auto"/>
              <w:ind w:left="0" w:leftChars="0" w:right="0" w:rightChars="0" w:firstLine="0" w:firstLineChars="0"/>
              <w:jc w:val="center"/>
              <w:rPr>
                <w:rFonts w:ascii="仿宋" w:hAnsi="仿宋" w:eastAsia="仿宋" w:cs="仿宋"/>
                <w:b/>
                <w:bCs/>
                <w:szCs w:val="21"/>
              </w:rPr>
            </w:pPr>
            <w:r>
              <w:rPr>
                <w:rFonts w:hint="eastAsia" w:ascii="仿宋" w:hAnsi="仿宋" w:eastAsia="仿宋" w:cs="仿宋"/>
                <w:b/>
                <w:bCs/>
                <w:szCs w:val="21"/>
              </w:rPr>
              <w:t>C</w:t>
            </w:r>
          </w:p>
        </w:tc>
        <w:tc>
          <w:tcPr>
            <w:tcW w:w="1931" w:type="dxa"/>
            <w:vMerge w:val="restart"/>
            <w:vAlign w:val="center"/>
          </w:tcPr>
          <w:p w14:paraId="56CD20F3">
            <w:pPr>
              <w:snapToGrid w:val="0"/>
              <w:spacing w:line="240" w:lineRule="auto"/>
              <w:ind w:left="0" w:leftChars="0" w:right="0" w:rightChars="0" w:firstLine="0" w:firstLineChars="0"/>
              <w:jc w:val="center"/>
              <w:rPr>
                <w:rFonts w:ascii="仿宋" w:hAnsi="仿宋" w:eastAsia="仿宋" w:cs="仿宋"/>
                <w:szCs w:val="21"/>
              </w:rPr>
            </w:pPr>
            <w:r>
              <w:rPr>
                <w:rFonts w:hint="eastAsia" w:ascii="仿宋" w:hAnsi="仿宋" w:eastAsia="仿宋" w:cs="仿宋"/>
                <w:szCs w:val="21"/>
              </w:rPr>
              <w:t>16.1.1-18.12.31</w:t>
            </w:r>
          </w:p>
        </w:tc>
        <w:tc>
          <w:tcPr>
            <w:tcW w:w="1178" w:type="dxa"/>
            <w:vMerge w:val="restart"/>
            <w:vAlign w:val="center"/>
          </w:tcPr>
          <w:p w14:paraId="1675DEB9">
            <w:pPr>
              <w:tabs>
                <w:tab w:val="left" w:pos="2925"/>
              </w:tabs>
              <w:adjustRightInd w:val="0"/>
              <w:snapToGrid w:val="0"/>
              <w:spacing w:line="240" w:lineRule="auto"/>
              <w:ind w:left="0" w:leftChars="0" w:right="0" w:rightChars="0" w:firstLine="0" w:firstLineChars="0"/>
              <w:jc w:val="center"/>
              <w:rPr>
                <w:rFonts w:ascii="仿宋" w:hAnsi="仿宋" w:eastAsia="仿宋" w:cs="仿宋"/>
                <w:szCs w:val="21"/>
              </w:rPr>
            </w:pPr>
            <w:r>
              <w:rPr>
                <w:rFonts w:hint="eastAsia" w:ascii="仿宋" w:hAnsi="仿宋" w:eastAsia="仿宋" w:cs="仿宋"/>
                <w:szCs w:val="21"/>
              </w:rPr>
              <w:t>3</w:t>
            </w:r>
          </w:p>
        </w:tc>
        <w:tc>
          <w:tcPr>
            <w:tcW w:w="1735" w:type="dxa"/>
            <w:vAlign w:val="center"/>
          </w:tcPr>
          <w:p w14:paraId="42EE2DE2">
            <w:pPr>
              <w:snapToGrid w:val="0"/>
              <w:spacing w:line="240" w:lineRule="auto"/>
              <w:ind w:left="0" w:leftChars="0" w:right="0" w:rightChars="0" w:firstLine="0" w:firstLineChars="0"/>
              <w:jc w:val="center"/>
              <w:rPr>
                <w:rFonts w:hint="eastAsia" w:ascii="仿宋" w:hAnsi="仿宋" w:eastAsia="仿宋" w:cs="仿宋"/>
                <w:szCs w:val="21"/>
              </w:rPr>
            </w:pPr>
            <w:r>
              <w:rPr>
                <w:rFonts w:hint="eastAsia" w:ascii="仿宋" w:hAnsi="仿宋" w:eastAsia="仿宋" w:cs="仿宋"/>
                <w:szCs w:val="21"/>
              </w:rPr>
              <w:t>个人</w:t>
            </w:r>
          </w:p>
        </w:tc>
        <w:tc>
          <w:tcPr>
            <w:tcW w:w="1723" w:type="dxa"/>
            <w:vAlign w:val="center"/>
          </w:tcPr>
          <w:p w14:paraId="4663064D">
            <w:pPr>
              <w:snapToGrid w:val="0"/>
              <w:spacing w:line="240" w:lineRule="auto"/>
              <w:ind w:left="0" w:leftChars="0" w:right="0" w:rightChars="0" w:firstLine="0" w:firstLineChars="0"/>
              <w:jc w:val="center"/>
              <w:rPr>
                <w:rFonts w:hint="eastAsia" w:ascii="仿宋" w:hAnsi="仿宋" w:eastAsia="仿宋" w:cs="仿宋"/>
                <w:szCs w:val="21"/>
              </w:rPr>
            </w:pPr>
            <w:r>
              <w:rPr>
                <w:rFonts w:hint="eastAsia" w:ascii="仿宋" w:hAnsi="仿宋" w:eastAsia="仿宋" w:cs="仿宋"/>
                <w:szCs w:val="21"/>
              </w:rPr>
              <w:t>个人</w:t>
            </w:r>
          </w:p>
        </w:tc>
      </w:tr>
      <w:tr w14:paraId="7982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95" w:type="dxa"/>
            <w:vMerge w:val="continue"/>
            <w:vAlign w:val="center"/>
          </w:tcPr>
          <w:p w14:paraId="6ADF0A9F">
            <w:pPr>
              <w:tabs>
                <w:tab w:val="left" w:pos="2925"/>
              </w:tabs>
              <w:adjustRightInd w:val="0"/>
              <w:snapToGrid w:val="0"/>
              <w:spacing w:line="240" w:lineRule="auto"/>
              <w:ind w:left="0" w:leftChars="0" w:right="0" w:rightChars="0" w:firstLine="0" w:firstLineChars="0"/>
              <w:jc w:val="center"/>
              <w:rPr>
                <w:rFonts w:ascii="仿宋" w:hAnsi="仿宋" w:eastAsia="仿宋" w:cs="仿宋"/>
                <w:szCs w:val="21"/>
              </w:rPr>
            </w:pPr>
          </w:p>
        </w:tc>
        <w:tc>
          <w:tcPr>
            <w:tcW w:w="1931" w:type="dxa"/>
            <w:vMerge w:val="continue"/>
            <w:vAlign w:val="center"/>
          </w:tcPr>
          <w:p w14:paraId="09A75B85">
            <w:pPr>
              <w:snapToGrid w:val="0"/>
              <w:spacing w:line="240" w:lineRule="auto"/>
              <w:ind w:left="0" w:leftChars="0" w:right="0" w:rightChars="0" w:firstLine="0" w:firstLineChars="0"/>
              <w:jc w:val="center"/>
              <w:rPr>
                <w:rFonts w:ascii="仿宋" w:hAnsi="仿宋" w:eastAsia="仿宋" w:cs="仿宋"/>
                <w:szCs w:val="21"/>
              </w:rPr>
            </w:pPr>
          </w:p>
        </w:tc>
        <w:tc>
          <w:tcPr>
            <w:tcW w:w="1178" w:type="dxa"/>
            <w:vMerge w:val="continue"/>
            <w:vAlign w:val="center"/>
          </w:tcPr>
          <w:p w14:paraId="746EA434">
            <w:pPr>
              <w:tabs>
                <w:tab w:val="left" w:pos="2925"/>
              </w:tabs>
              <w:adjustRightInd w:val="0"/>
              <w:snapToGrid w:val="0"/>
              <w:spacing w:line="240" w:lineRule="auto"/>
              <w:ind w:left="0" w:leftChars="0" w:right="0" w:rightChars="0" w:firstLine="0" w:firstLineChars="0"/>
              <w:jc w:val="center"/>
              <w:rPr>
                <w:rFonts w:ascii="仿宋" w:hAnsi="仿宋" w:eastAsia="仿宋" w:cs="仿宋"/>
                <w:szCs w:val="21"/>
              </w:rPr>
            </w:pPr>
          </w:p>
        </w:tc>
        <w:tc>
          <w:tcPr>
            <w:tcW w:w="3458" w:type="dxa"/>
            <w:gridSpan w:val="2"/>
            <w:vAlign w:val="center"/>
          </w:tcPr>
          <w:p w14:paraId="539E4325">
            <w:pPr>
              <w:snapToGrid w:val="0"/>
              <w:spacing w:line="240" w:lineRule="auto"/>
              <w:ind w:left="0" w:leftChars="0" w:right="0" w:rightChars="0" w:firstLine="0" w:firstLineChars="0"/>
              <w:jc w:val="center"/>
              <w:rPr>
                <w:rFonts w:hint="eastAsia" w:ascii="仿宋" w:hAnsi="仿宋" w:eastAsia="仿宋" w:cs="仿宋"/>
                <w:szCs w:val="21"/>
              </w:rPr>
            </w:pPr>
            <w:r>
              <w:rPr>
                <w:rFonts w:hint="eastAsia" w:ascii="仿宋" w:hAnsi="仿宋" w:eastAsia="仿宋" w:cs="仿宋"/>
                <w:szCs w:val="21"/>
              </w:rPr>
              <w:t>混合团体</w:t>
            </w:r>
          </w:p>
        </w:tc>
      </w:tr>
    </w:tbl>
    <w:p w14:paraId="27B7653E">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sz w:val="28"/>
          <w:szCs w:val="28"/>
        </w:rPr>
      </w:pPr>
      <w:r>
        <w:rPr>
          <w:rFonts w:hint="eastAsia" w:ascii="仿宋" w:hAnsi="仿宋" w:eastAsia="仿宋" w:cs="仿宋"/>
          <w:b/>
          <w:sz w:val="28"/>
          <w:szCs w:val="28"/>
        </w:rPr>
        <w:t>八、参赛资格</w:t>
      </w:r>
    </w:p>
    <w:p w14:paraId="41B3CF5E">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2A272CCE">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3BEEA4A4">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（三）参赛运动员必须是2026年在本市有效注册的青少年运动员，并持本人当年有效的《上海市青少年运动员注册卡》参赛。</w:t>
      </w:r>
      <w:bookmarkEnd w:id="0"/>
    </w:p>
    <w:p w14:paraId="4D2EFE32">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（四）参赛运动员须参加2026年上海市高尔夫球二线体能测试赛且身体素质测试成绩总和A、B组13分（含）以上或C组9分（含）以上方可参赛。</w:t>
      </w:r>
    </w:p>
    <w:p w14:paraId="1EDA9D1B">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43C9DF96">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329361F9">
      <w:pPr>
        <w:keepNext w:val="0"/>
        <w:keepLines w:val="0"/>
        <w:pageBreakBefore w:val="0"/>
        <w:widowControl w:val="0"/>
        <w:numPr>
          <w:ilvl w:val="255"/>
          <w:numId w:val="0"/>
        </w:numPr>
        <w:kinsoku/>
        <w:wordWrap/>
        <w:autoSpaceDE/>
        <w:autoSpaceDN/>
        <w:bidi w:val="0"/>
        <w:spacing w:line="540" w:lineRule="exact"/>
        <w:ind w:firstLine="544" w:firstLineChars="200"/>
        <w:textAlignment w:val="auto"/>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5B22572F">
      <w:pPr>
        <w:keepNext w:val="0"/>
        <w:keepLines w:val="0"/>
        <w:pageBreakBefore w:val="0"/>
        <w:widowControl w:val="0"/>
        <w:numPr>
          <w:ilvl w:val="255"/>
          <w:numId w:val="0"/>
        </w:numPr>
        <w:kinsoku/>
        <w:wordWrap/>
        <w:autoSpaceDE/>
        <w:autoSpaceDN/>
        <w:bidi w:val="0"/>
        <w:spacing w:line="540" w:lineRule="exact"/>
        <w:ind w:firstLine="544" w:firstLineChars="200"/>
        <w:textAlignment w:val="auto"/>
        <w:rPr>
          <w:rFonts w:ascii="仿宋" w:hAnsi="仿宋" w:eastAsia="仿宋" w:cs="仿宋"/>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4F779C16">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sz w:val="28"/>
          <w:szCs w:val="28"/>
        </w:rPr>
      </w:pPr>
      <w:r>
        <w:rPr>
          <w:rFonts w:hint="eastAsia" w:ascii="仿宋" w:hAnsi="仿宋" w:eastAsia="仿宋" w:cs="仿宋"/>
          <w:b/>
          <w:sz w:val="28"/>
          <w:szCs w:val="28"/>
        </w:rPr>
        <w:t>九、参加办法</w:t>
      </w:r>
    </w:p>
    <w:p w14:paraId="3AABD50E">
      <w:pPr>
        <w:keepNext w:val="0"/>
        <w:keepLines w:val="0"/>
        <w:pageBreakBefore w:val="0"/>
        <w:widowControl w:val="0"/>
        <w:kinsoku/>
        <w:wordWrap/>
        <w:overflowPunct w:val="0"/>
        <w:topLinePunct/>
        <w:autoSpaceDE/>
        <w:autoSpaceDN/>
        <w:bidi w:val="0"/>
        <w:spacing w:line="540" w:lineRule="exact"/>
        <w:ind w:left="105" w:leftChars="50" w:firstLine="560" w:firstLineChars="200"/>
        <w:textAlignment w:val="auto"/>
        <w:rPr>
          <w:rFonts w:ascii="仿宋" w:hAnsi="仿宋" w:eastAsia="仿宋" w:cs="仿宋"/>
          <w:sz w:val="28"/>
          <w:szCs w:val="28"/>
        </w:rPr>
      </w:pPr>
      <w:r>
        <w:rPr>
          <w:rFonts w:hint="eastAsia" w:ascii="仿宋" w:hAnsi="仿宋" w:eastAsia="仿宋" w:cs="仿宋"/>
          <w:sz w:val="28"/>
          <w:szCs w:val="28"/>
        </w:rPr>
        <w:t>（一）报名人数：每个代表团可报领队1人，教练员1-2人，男女各组别最多可报</w:t>
      </w:r>
      <w:r>
        <w:rPr>
          <w:rFonts w:hint="eastAsia" w:ascii="仿宋" w:hAnsi="仿宋" w:eastAsia="仿宋" w:cs="仿宋"/>
          <w:color w:val="auto"/>
          <w:sz w:val="28"/>
          <w:szCs w:val="28"/>
        </w:rPr>
        <w:t>3名运动员；其中混合团体赛男女须各报2名参赛运动员。教练员须</w:t>
      </w:r>
      <w:r>
        <w:rPr>
          <w:rFonts w:hint="eastAsia" w:ascii="仿宋" w:hAnsi="仿宋" w:eastAsia="仿宋" w:cs="仿宋"/>
          <w:sz w:val="28"/>
          <w:szCs w:val="28"/>
        </w:rPr>
        <w:t>是2026年在本市有效注册的青训教练员。</w:t>
      </w:r>
    </w:p>
    <w:p w14:paraId="6D19447D">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二）参赛单位通过大会指定的网站www.aijingsai.cn（上海青少年体育赛事网）进行网上报名，并在规定时间内将导出打印的报名表加盖公章后，一式两份报大会组委会竞赛部（地址：徐汇区零陵路800号8楼，竞赛部，31211118）。</w:t>
      </w:r>
    </w:p>
    <w:p w14:paraId="7D655768">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（三）一旦报名，不得更改，运动员（队）不得无故弃赛。逾期报名，不予受理。</w:t>
      </w:r>
    </w:p>
    <w:p w14:paraId="33D7357B">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（四）参赛运动员名单将于9月25日前在上海市高尔夫球协会官方微信公众号上公布。</w:t>
      </w:r>
    </w:p>
    <w:p w14:paraId="622B7D88">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（五）参赛保险要求：参赛者须自行投保人身意外保险。</w:t>
      </w:r>
    </w:p>
    <w:p w14:paraId="397BC00B">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sz w:val="28"/>
          <w:szCs w:val="28"/>
        </w:rPr>
      </w:pPr>
      <w:r>
        <w:rPr>
          <w:rFonts w:hint="eastAsia" w:ascii="仿宋" w:hAnsi="仿宋" w:eastAsia="仿宋" w:cs="仿宋"/>
          <w:b/>
          <w:sz w:val="28"/>
          <w:szCs w:val="28"/>
        </w:rPr>
        <w:t>十、竞赛办法</w:t>
      </w:r>
    </w:p>
    <w:p w14:paraId="5B834694">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（一）比赛采用中国高尔夫球协会审定的，由R&amp;A规则有限公司及美国高尔夫球协会颁布的最新版的《高尔夫球规则》以及竞赛委员会制定的当地规则。</w:t>
      </w:r>
    </w:p>
    <w:p w14:paraId="56377AC6">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（二）个人赛</w:t>
      </w:r>
    </w:p>
    <w:p w14:paraId="296DE40F">
      <w:pPr>
        <w:keepNext w:val="0"/>
        <w:keepLines w:val="0"/>
        <w:pageBreakBefore w:val="0"/>
        <w:widowControl w:val="0"/>
        <w:kinsoku/>
        <w:wordWrap/>
        <w:overflowPunct/>
        <w:topLinePunct w:val="0"/>
        <w:autoSpaceDE/>
        <w:autoSpaceDN/>
        <w:bidi w:val="0"/>
        <w:spacing w:line="540" w:lineRule="exact"/>
        <w:ind w:firstLine="560"/>
        <w:textAlignment w:val="auto"/>
        <w:rPr>
          <w:rFonts w:ascii="仿宋" w:hAnsi="仿宋" w:eastAsia="仿宋" w:cs="仿宋"/>
          <w:sz w:val="28"/>
          <w:szCs w:val="28"/>
        </w:rPr>
      </w:pPr>
      <w:r>
        <w:rPr>
          <w:rFonts w:hint="eastAsia" w:ascii="仿宋" w:hAnsi="仿宋" w:eastAsia="仿宋" w:cs="仿宋"/>
          <w:sz w:val="28"/>
          <w:szCs w:val="28"/>
        </w:rPr>
        <w:t>A、B、C组个人比赛均为两轮（36洞）比杆赛，按照每名运动员两轮总成绩排定名次，杆数少者名次列前。如各运动员的个人成绩出现并列时，则首先比较各运动员第二轮的成绩，杆数少者名次在前；若仍相同，则比较各运动员第二轮的后9洞（第10-18洞）成绩，杆数少者名次列前；若仍相同，则从第18洞起从后向前逐洞比较各运动员的第二轮成绩，直至决出名次；若仍相同，则采用抽签决出相应名次。</w:t>
      </w:r>
    </w:p>
    <w:p w14:paraId="77D2DD07">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（三）团体赛</w:t>
      </w:r>
    </w:p>
    <w:p w14:paraId="6F763D9E">
      <w:pPr>
        <w:keepNext w:val="0"/>
        <w:keepLines w:val="0"/>
        <w:pageBreakBefore w:val="0"/>
        <w:widowControl w:val="0"/>
        <w:numPr>
          <w:ilvl w:val="0"/>
          <w:numId w:val="1"/>
        </w:numPr>
        <w:kinsoku/>
        <w:wordWrap/>
        <w:overflowPunct/>
        <w:topLinePunct w:val="0"/>
        <w:autoSpaceDE/>
        <w:autoSpaceDN/>
        <w:bidi w:val="0"/>
        <w:spacing w:line="540" w:lineRule="exact"/>
        <w:ind w:left="0" w:firstLine="480"/>
        <w:textAlignment w:val="auto"/>
        <w:rPr>
          <w:rFonts w:ascii="仿宋" w:hAnsi="仿宋" w:eastAsia="仿宋" w:cs="仿宋"/>
          <w:sz w:val="28"/>
          <w:szCs w:val="28"/>
        </w:rPr>
      </w:pPr>
      <w:r>
        <w:rPr>
          <w:rFonts w:hint="eastAsia" w:ascii="仿宋" w:hAnsi="仿宋" w:eastAsia="仿宋" w:cs="仿宋"/>
          <w:sz w:val="28"/>
          <w:szCs w:val="28"/>
        </w:rPr>
        <w:t>A组、B组、C组的男女混合团体赛均为两轮（36洞）比杆赛。每轮比赛中，分别采用各队各组别成绩最好的2名男运动员和2名女运动员的杆数之和计算该队的团体成绩，累计2轮团体成绩之和为该队团体总成绩，总杆数低者名次列前。如各队的团体成绩出现并列时，则先比较各队最后一轮的团体成绩，总杆数少者名次列前；若仍相同，则比较各队最后一轮后九洞（第10-18洞）的团体成绩，总杆数少者名次列前；若仍相同，则从第18洞起自后向前逐洞比较最后一轮的团体成绩，直至决出名次；若仍相同，则采用抽签决出相应名次。</w:t>
      </w:r>
    </w:p>
    <w:p w14:paraId="2626BBC7">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firstLine="480"/>
        <w:textAlignment w:val="auto"/>
        <w:rPr>
          <w:rFonts w:ascii="仿宋" w:hAnsi="仿宋" w:eastAsia="仿宋" w:cs="仿宋"/>
          <w:sz w:val="28"/>
          <w:szCs w:val="28"/>
          <w:highlight w:val="none"/>
        </w:rPr>
      </w:pPr>
      <w:r>
        <w:rPr>
          <w:rFonts w:hint="eastAsia" w:ascii="仿宋" w:hAnsi="仿宋" w:eastAsia="仿宋" w:cs="仿宋"/>
          <w:color w:val="auto"/>
          <w:sz w:val="28"/>
          <w:szCs w:val="28"/>
          <w:highlight w:val="none"/>
          <w:lang w:val="en-US" w:eastAsia="zh-CN"/>
        </w:rPr>
        <w:t>获得运动员技术等级评定的团体，当其人数超出《高尔夫球运动员技术等级标准》办法规定的最大授予人数限制时，其名额在团体内部按性别均等分配，男子、女子运动员分别单独比较个人两轮总杆成绩以确定人选，</w:t>
      </w:r>
      <w:r>
        <w:rPr>
          <w:rFonts w:hint="eastAsia" w:ascii="仿宋" w:hAnsi="仿宋" w:eastAsia="仿宋" w:cs="仿宋"/>
          <w:sz w:val="28"/>
          <w:szCs w:val="28"/>
          <w:highlight w:val="none"/>
        </w:rPr>
        <w:t>总杆数少者获得评定资格；</w:t>
      </w:r>
      <w:r>
        <w:rPr>
          <w:rFonts w:hint="eastAsia" w:ascii="仿宋" w:hAnsi="仿宋" w:eastAsia="仿宋" w:cs="仿宋"/>
          <w:color w:val="auto"/>
          <w:sz w:val="28"/>
          <w:szCs w:val="28"/>
          <w:highlight w:val="none"/>
          <w:lang w:val="en-US" w:eastAsia="zh-CN"/>
        </w:rPr>
        <w:t>如出现并列，则比较最后一轮的总杆成绩，总杆数少者获得评定资格；</w:t>
      </w:r>
      <w:bookmarkStart w:id="2" w:name="_GoBack"/>
      <w:bookmarkEnd w:id="2"/>
      <w:r>
        <w:rPr>
          <w:rFonts w:hint="eastAsia" w:ascii="仿宋" w:hAnsi="仿宋" w:eastAsia="仿宋" w:cs="仿宋"/>
          <w:sz w:val="28"/>
          <w:szCs w:val="28"/>
          <w:highlight w:val="none"/>
        </w:rPr>
        <w:t>若仍相同，则比较最后一轮后九洞（第10-18洞）的成绩，杆数少者获得</w:t>
      </w:r>
      <w:r>
        <w:rPr>
          <w:rFonts w:hint="eastAsia" w:ascii="仿宋" w:hAnsi="仿宋" w:eastAsia="仿宋" w:cs="仿宋"/>
          <w:sz w:val="28"/>
          <w:szCs w:val="28"/>
        </w:rPr>
        <w:t>评定资格；若仍相同，则从第18洞起自后向前逐洞比较最后一轮各洞成绩，杆数少者获得评定资格；若逐洞比较后仍相同，由赛事组委会抽签确定评定资</w:t>
      </w:r>
      <w:r>
        <w:rPr>
          <w:rFonts w:hint="eastAsia" w:ascii="仿宋" w:hAnsi="仿宋" w:eastAsia="仿宋" w:cs="仿宋"/>
          <w:sz w:val="28"/>
          <w:szCs w:val="28"/>
          <w:highlight w:val="none"/>
        </w:rPr>
        <w:t>格获得者。</w:t>
      </w:r>
    </w:p>
    <w:p w14:paraId="18E15C7B">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firstLine="480"/>
        <w:textAlignment w:val="auto"/>
        <w:rPr>
          <w:rFonts w:hint="eastAsia" w:ascii="仿宋" w:hAnsi="仿宋" w:eastAsia="仿宋" w:cs="仿宋"/>
          <w:color w:val="auto"/>
          <w:sz w:val="28"/>
          <w:szCs w:val="28"/>
          <w:highlight w:val="none"/>
        </w:rPr>
      </w:pPr>
      <w:r>
        <w:rPr>
          <w:rFonts w:hint="eastAsia" w:ascii="仿宋" w:hAnsi="仿宋" w:eastAsia="仿宋" w:cs="仿宋"/>
          <w:sz w:val="28"/>
          <w:szCs w:val="28"/>
          <w:highlight w:val="none"/>
        </w:rPr>
        <w:t>在第一轮比赛中，如队中有运动员因技术原因被取消资格或伤退（需提供相关证明），该运动员仍可继续代表本队完成第二轮的团体比赛。</w:t>
      </w:r>
    </w:p>
    <w:p w14:paraId="3B912608">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firstLine="48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如一队一轮所采用的成绩中有两人或两人以上的杆数相同，则按以下方式确定要使用谁的杆数来决定该队该轮的成绩：</w:t>
      </w:r>
    </w:p>
    <w:p w14:paraId="388BC9E6">
      <w:pPr>
        <w:keepNext w:val="0"/>
        <w:keepLines w:val="0"/>
        <w:pageBreakBefore w:val="0"/>
        <w:widowControl w:val="0"/>
        <w:numPr>
          <w:ilvl w:val="0"/>
          <w:numId w:val="0"/>
        </w:numPr>
        <w:kinsoku/>
        <w:wordWrap/>
        <w:overflowPunct/>
        <w:topLinePunct w:val="0"/>
        <w:autoSpaceDE/>
        <w:autoSpaceDN/>
        <w:bidi w:val="0"/>
        <w:adjustRightInd/>
        <w:snapToGrid/>
        <w:spacing w:line="540" w:lineRule="atLeast"/>
        <w:ind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(1)首先比较各球员该轮后九洞（第10-18洞）的成绩，杆数少者名次列前；</w:t>
      </w:r>
    </w:p>
    <w:p w14:paraId="6AE05075">
      <w:pPr>
        <w:keepNext w:val="0"/>
        <w:keepLines w:val="0"/>
        <w:pageBreakBefore w:val="0"/>
        <w:widowControl w:val="0"/>
        <w:numPr>
          <w:ilvl w:val="0"/>
          <w:numId w:val="0"/>
        </w:numPr>
        <w:kinsoku/>
        <w:wordWrap/>
        <w:overflowPunct/>
        <w:topLinePunct w:val="0"/>
        <w:autoSpaceDE/>
        <w:autoSpaceDN/>
        <w:bidi w:val="0"/>
        <w:adjustRightInd/>
        <w:snapToGrid/>
        <w:spacing w:line="540" w:lineRule="atLeast"/>
        <w:ind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(2)若仍相同，则从第18洞起自后向前逐洞比较该轮成绩，直至决出名次；</w:t>
      </w:r>
    </w:p>
    <w:p w14:paraId="724E2212">
      <w:pPr>
        <w:keepNext w:val="0"/>
        <w:keepLines w:val="0"/>
        <w:pageBreakBefore w:val="0"/>
        <w:widowControl w:val="0"/>
        <w:numPr>
          <w:ilvl w:val="0"/>
          <w:numId w:val="0"/>
        </w:numPr>
        <w:kinsoku/>
        <w:wordWrap/>
        <w:overflowPunct/>
        <w:topLinePunct w:val="0"/>
        <w:autoSpaceDE/>
        <w:autoSpaceDN/>
        <w:bidi w:val="0"/>
        <w:adjustRightInd/>
        <w:snapToGrid/>
        <w:spacing w:line="540" w:lineRule="atLeast"/>
        <w:ind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(3)若仍相同，则采用抽签决出相应名次。</w:t>
      </w:r>
    </w:p>
    <w:p w14:paraId="5713FDE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（四）比赛期间的服务球童由球场统一配备。</w:t>
      </w:r>
    </w:p>
    <w:p w14:paraId="35009A8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（五）发球台及距离码数</w:t>
      </w:r>
    </w:p>
    <w:p w14:paraId="7335006F">
      <w:pPr>
        <w:keepNext w:val="0"/>
        <w:keepLines w:val="0"/>
        <w:pageBreakBefore w:val="0"/>
        <w:widowControl w:val="0"/>
        <w:kinsoku/>
        <w:wordWrap/>
        <w:overflowPunct/>
        <w:topLinePunct w:val="0"/>
        <w:autoSpaceDE/>
        <w:autoSpaceDN/>
        <w:bidi w:val="0"/>
        <w:adjustRightInd/>
        <w:snapToGrid/>
        <w:spacing w:line="540" w:lineRule="exact"/>
        <w:ind w:left="210" w:leftChars="100" w:firstLine="560" w:firstLineChars="200"/>
        <w:textAlignment w:val="auto"/>
        <w:rPr>
          <w:rFonts w:ascii="仿宋" w:hAnsi="仿宋" w:eastAsia="仿宋" w:cs="仿宋"/>
          <w:sz w:val="28"/>
          <w:szCs w:val="28"/>
        </w:rPr>
      </w:pPr>
      <w:r>
        <w:rPr>
          <w:rFonts w:hint="eastAsia" w:ascii="仿宋" w:hAnsi="仿宋" w:eastAsia="仿宋" w:cs="仿宋"/>
          <w:sz w:val="28"/>
          <w:szCs w:val="28"/>
        </w:rPr>
        <w:t>黑色发球台：男子A组 ≥6500码</w:t>
      </w:r>
    </w:p>
    <w:p w14:paraId="535EA8E5">
      <w:pPr>
        <w:keepNext w:val="0"/>
        <w:keepLines w:val="0"/>
        <w:pageBreakBefore w:val="0"/>
        <w:widowControl w:val="0"/>
        <w:kinsoku/>
        <w:wordWrap/>
        <w:overflowPunct/>
        <w:topLinePunct w:val="0"/>
        <w:autoSpaceDE/>
        <w:autoSpaceDN/>
        <w:bidi w:val="0"/>
        <w:adjustRightInd/>
        <w:snapToGrid/>
        <w:spacing w:line="540" w:lineRule="exact"/>
        <w:ind w:left="210" w:leftChars="100" w:firstLine="560" w:firstLineChars="200"/>
        <w:textAlignment w:val="auto"/>
        <w:rPr>
          <w:rFonts w:ascii="仿宋" w:hAnsi="仿宋" w:eastAsia="仿宋" w:cs="仿宋"/>
          <w:sz w:val="28"/>
          <w:szCs w:val="28"/>
        </w:rPr>
      </w:pPr>
      <w:r>
        <w:rPr>
          <w:rFonts w:hint="eastAsia" w:ascii="仿宋" w:hAnsi="仿宋" w:eastAsia="仿宋" w:cs="仿宋"/>
          <w:sz w:val="28"/>
          <w:szCs w:val="28"/>
        </w:rPr>
        <w:t>蓝色发球台：男子B组 ≥5700码</w:t>
      </w:r>
    </w:p>
    <w:p w14:paraId="71823BB8">
      <w:pPr>
        <w:keepNext w:val="0"/>
        <w:keepLines w:val="0"/>
        <w:pageBreakBefore w:val="0"/>
        <w:widowControl w:val="0"/>
        <w:kinsoku/>
        <w:wordWrap/>
        <w:overflowPunct/>
        <w:topLinePunct w:val="0"/>
        <w:autoSpaceDE/>
        <w:autoSpaceDN/>
        <w:bidi w:val="0"/>
        <w:adjustRightInd/>
        <w:snapToGrid/>
        <w:spacing w:line="540" w:lineRule="exact"/>
        <w:ind w:left="210" w:leftChars="100" w:firstLine="560" w:firstLineChars="200"/>
        <w:textAlignment w:val="auto"/>
        <w:rPr>
          <w:rFonts w:ascii="仿宋" w:hAnsi="仿宋" w:eastAsia="仿宋" w:cs="仿宋"/>
          <w:sz w:val="28"/>
          <w:szCs w:val="28"/>
        </w:rPr>
      </w:pPr>
      <w:r>
        <w:rPr>
          <w:rFonts w:hint="eastAsia" w:ascii="仿宋" w:hAnsi="仿宋" w:eastAsia="仿宋" w:cs="仿宋"/>
          <w:sz w:val="28"/>
          <w:szCs w:val="28"/>
        </w:rPr>
        <w:t>白色发球台：男子C组 ≥4800码</w:t>
      </w:r>
    </w:p>
    <w:p w14:paraId="2C39FC94">
      <w:pPr>
        <w:keepNext w:val="0"/>
        <w:keepLines w:val="0"/>
        <w:pageBreakBefore w:val="0"/>
        <w:widowControl w:val="0"/>
        <w:kinsoku/>
        <w:wordWrap/>
        <w:overflowPunct/>
        <w:topLinePunct w:val="0"/>
        <w:autoSpaceDE/>
        <w:autoSpaceDN/>
        <w:bidi w:val="0"/>
        <w:adjustRightInd/>
        <w:snapToGrid/>
        <w:spacing w:line="540" w:lineRule="exact"/>
        <w:ind w:left="210" w:leftChars="100" w:firstLine="560" w:firstLineChars="200"/>
        <w:textAlignment w:val="auto"/>
        <w:rPr>
          <w:rFonts w:ascii="仿宋" w:hAnsi="仿宋" w:eastAsia="仿宋" w:cs="仿宋"/>
          <w:sz w:val="28"/>
          <w:szCs w:val="28"/>
        </w:rPr>
      </w:pPr>
      <w:r>
        <w:rPr>
          <w:rFonts w:hint="eastAsia" w:ascii="仿宋" w:hAnsi="仿宋" w:eastAsia="仿宋" w:cs="仿宋"/>
          <w:sz w:val="28"/>
          <w:szCs w:val="28"/>
        </w:rPr>
        <w:t>紫色发球台：女子A组 ≥6000码</w:t>
      </w:r>
    </w:p>
    <w:p w14:paraId="479B819F">
      <w:pPr>
        <w:keepNext w:val="0"/>
        <w:keepLines w:val="0"/>
        <w:pageBreakBefore w:val="0"/>
        <w:widowControl w:val="0"/>
        <w:kinsoku/>
        <w:wordWrap/>
        <w:overflowPunct/>
        <w:topLinePunct w:val="0"/>
        <w:autoSpaceDE/>
        <w:autoSpaceDN/>
        <w:bidi w:val="0"/>
        <w:adjustRightInd/>
        <w:snapToGrid/>
        <w:spacing w:line="540" w:lineRule="exact"/>
        <w:ind w:left="210" w:leftChars="100" w:firstLine="560" w:firstLineChars="200"/>
        <w:textAlignment w:val="auto"/>
        <w:rPr>
          <w:rFonts w:ascii="仿宋" w:hAnsi="仿宋" w:eastAsia="仿宋" w:cs="仿宋"/>
          <w:sz w:val="28"/>
          <w:szCs w:val="28"/>
        </w:rPr>
      </w:pPr>
      <w:r>
        <w:rPr>
          <w:rFonts w:hint="eastAsia" w:ascii="仿宋" w:hAnsi="仿宋" w:eastAsia="仿宋" w:cs="仿宋"/>
          <w:sz w:val="28"/>
          <w:szCs w:val="28"/>
        </w:rPr>
        <w:t>红色发球台：女子B组 ≥5100码</w:t>
      </w:r>
    </w:p>
    <w:p w14:paraId="33C89205">
      <w:pPr>
        <w:keepNext w:val="0"/>
        <w:keepLines w:val="0"/>
        <w:pageBreakBefore w:val="0"/>
        <w:widowControl w:val="0"/>
        <w:kinsoku/>
        <w:wordWrap/>
        <w:overflowPunct/>
        <w:topLinePunct w:val="0"/>
        <w:autoSpaceDE/>
        <w:autoSpaceDN/>
        <w:bidi w:val="0"/>
        <w:adjustRightInd/>
        <w:snapToGrid/>
        <w:spacing w:line="540" w:lineRule="exact"/>
        <w:ind w:left="210" w:leftChars="100" w:firstLine="560" w:firstLineChars="200"/>
        <w:textAlignment w:val="auto"/>
        <w:rPr>
          <w:rFonts w:ascii="仿宋" w:hAnsi="仿宋" w:eastAsia="仿宋" w:cs="仿宋"/>
          <w:sz w:val="28"/>
          <w:szCs w:val="28"/>
        </w:rPr>
      </w:pPr>
      <w:r>
        <w:rPr>
          <w:rFonts w:hint="eastAsia" w:ascii="仿宋" w:hAnsi="仿宋" w:eastAsia="仿宋" w:cs="仿宋"/>
          <w:sz w:val="28"/>
          <w:szCs w:val="28"/>
        </w:rPr>
        <w:t>粉色发球台：女子C组 ≥4300码</w:t>
      </w:r>
    </w:p>
    <w:p w14:paraId="30969AD1">
      <w:pPr>
        <w:keepNext w:val="0"/>
        <w:keepLines w:val="0"/>
        <w:pageBreakBefore w:val="0"/>
        <w:widowControl w:val="0"/>
        <w:kinsoku/>
        <w:wordWrap/>
        <w:overflowPunct/>
        <w:topLinePunct w:val="0"/>
        <w:autoSpaceDE/>
        <w:autoSpaceDN/>
        <w:bidi w:val="0"/>
        <w:adjustRightInd/>
        <w:snapToGrid/>
        <w:spacing w:line="540" w:lineRule="exact"/>
        <w:ind w:left="210" w:leftChars="100" w:firstLine="560" w:firstLineChars="200"/>
        <w:textAlignment w:val="auto"/>
        <w:rPr>
          <w:rFonts w:ascii="仿宋" w:hAnsi="仿宋" w:eastAsia="仿宋" w:cs="仿宋"/>
          <w:sz w:val="28"/>
          <w:szCs w:val="28"/>
        </w:rPr>
      </w:pPr>
      <w:r>
        <w:rPr>
          <w:rFonts w:hint="eastAsia" w:ascii="仿宋" w:hAnsi="仿宋" w:eastAsia="仿宋" w:cs="仿宋"/>
          <w:sz w:val="28"/>
          <w:szCs w:val="28"/>
        </w:rPr>
        <w:t>注：赛事码数将根据场地实际情况进行调整，具体以现场公告为准。</w:t>
      </w:r>
    </w:p>
    <w:p w14:paraId="1CBE04F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（六）本次比赛不允许助言。</w:t>
      </w:r>
    </w:p>
    <w:p w14:paraId="40D144A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（七）本次比赛允许使用测距仪，但仅能使用测距仪测量距离，其它参数测量功能必须关闭。如果无法关闭其它参数测量功能，则运动员不允许使用该测距仪。</w:t>
      </w:r>
    </w:p>
    <w:p w14:paraId="3744B5F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（八）各队需自备专用球鞋、比赛器材、统一参赛服装。</w:t>
      </w:r>
    </w:p>
    <w:p w14:paraId="62053D5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（九）各竞赛小项参赛人（队）数少于2个参赛单位3人（队），均不安排比赛。</w:t>
      </w:r>
    </w:p>
    <w:p w14:paraId="7E0E0093">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7A38F16C">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（一）各组别各项目录取前8名，不足8人（队）参赛的，按实际参赛人（队）数录取名次。</w:t>
      </w:r>
    </w:p>
    <w:p w14:paraId="7592BD55">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（二）各项目前八名颁发证书、前三名颁发奖牌。</w:t>
      </w:r>
    </w:p>
    <w:p w14:paraId="197664E3">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bCs/>
          <w:spacing w:val="-4"/>
          <w:sz w:val="28"/>
          <w:szCs w:val="28"/>
        </w:rPr>
      </w:pPr>
      <w:r>
        <w:rPr>
          <w:rFonts w:hint="eastAsia" w:ascii="仿宋" w:hAnsi="仿宋" w:eastAsia="仿宋" w:cs="仿宋"/>
          <w:sz w:val="28"/>
          <w:szCs w:val="28"/>
        </w:rPr>
        <w:t>（三）</w:t>
      </w:r>
      <w:r>
        <w:rPr>
          <w:rFonts w:hint="eastAsia" w:ascii="仿宋" w:hAnsi="仿宋" w:eastAsia="仿宋" w:cs="仿宋"/>
          <w:bCs/>
          <w:sz w:val="28"/>
          <w:szCs w:val="28"/>
        </w:rPr>
        <w:t>有8队以上（含8队）参赛的，前3名依次按1金、1银、1铜计牌，前8名依次按11、9、8、7、6、5、4、3计分</w:t>
      </w:r>
      <w:r>
        <w:rPr>
          <w:rFonts w:hint="eastAsia" w:ascii="仿宋" w:hAnsi="仿宋" w:eastAsia="仿宋" w:cs="仿宋"/>
          <w:bCs/>
          <w:spacing w:val="-4"/>
          <w:sz w:val="28"/>
          <w:szCs w:val="28"/>
        </w:rPr>
        <w:t>。</w:t>
      </w:r>
    </w:p>
    <w:p w14:paraId="6E090771">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（四）开展“体育道德风尚奖”评选活动，具体办法另定。</w:t>
      </w:r>
    </w:p>
    <w:p w14:paraId="6B6F75FB">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 w:hAnsi="仿宋" w:eastAsia="仿宋" w:cs="仿宋"/>
          <w:b/>
          <w:bCs/>
          <w:sz w:val="28"/>
          <w:szCs w:val="28"/>
        </w:rPr>
      </w:pPr>
      <w:r>
        <w:rPr>
          <w:rFonts w:hint="eastAsia" w:ascii="仿宋" w:hAnsi="仿宋" w:eastAsia="仿宋" w:cs="仿宋"/>
          <w:b/>
          <w:bCs/>
          <w:sz w:val="28"/>
          <w:szCs w:val="28"/>
        </w:rPr>
        <w:t>十二、申诉和纪律</w:t>
      </w:r>
    </w:p>
    <w:p w14:paraId="6B74B2F5">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一）如各参赛队对《高尔夫球规则》以外事项存在异议，需由领队在该轮比赛最后一组球员提交成绩卡后15分钟内向仲裁委员会提出申诉，超出此时限将不予受理。仲裁委员会的决定是最终决定。参赛队如对裁判员根据《高尔夫球规则》做出的判罚存有异议，须按照《高尔夫球规则》第20条的相关规定和程序处理，仲裁委员会不介入该等事项。</w:t>
      </w:r>
    </w:p>
    <w:p w14:paraId="77023EF6">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二）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2C365B2E">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 w:hAnsi="仿宋" w:eastAsia="仿宋" w:cs="仿宋"/>
          <w:b/>
          <w:bCs/>
          <w:sz w:val="28"/>
          <w:szCs w:val="28"/>
        </w:rPr>
      </w:pPr>
      <w:r>
        <w:rPr>
          <w:rFonts w:hint="eastAsia" w:ascii="仿宋" w:hAnsi="仿宋" w:eastAsia="仿宋" w:cs="仿宋"/>
          <w:b/>
          <w:bCs/>
          <w:sz w:val="28"/>
          <w:szCs w:val="28"/>
        </w:rPr>
        <w:t>十三、技术官员</w:t>
      </w:r>
    </w:p>
    <w:p w14:paraId="3C54B845">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192E10A0">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 w:hAnsi="仿宋" w:eastAsia="仿宋" w:cs="仿宋"/>
          <w:b/>
          <w:sz w:val="28"/>
          <w:szCs w:val="28"/>
        </w:rPr>
      </w:pPr>
      <w:r>
        <w:rPr>
          <w:rFonts w:hint="eastAsia" w:ascii="仿宋" w:hAnsi="仿宋" w:eastAsia="仿宋" w:cs="仿宋"/>
          <w:b/>
          <w:sz w:val="28"/>
          <w:szCs w:val="28"/>
        </w:rPr>
        <w:t>十四、运动员技术等级授予</w:t>
      </w:r>
    </w:p>
    <w:p w14:paraId="174090A3">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bCs/>
          <w:sz w:val="28"/>
          <w:szCs w:val="28"/>
        </w:rPr>
      </w:pPr>
      <w:r>
        <w:rPr>
          <w:rFonts w:hint="eastAsia" w:ascii="仿宋" w:hAnsi="仿宋" w:eastAsia="仿宋" w:cs="仿宋"/>
          <w:bCs/>
          <w:sz w:val="28"/>
          <w:szCs w:val="28"/>
        </w:rPr>
        <w:t>本次比赛为2026年国家体育总局公布的可授予运动员技术等级称号赛事，本次比赛A组为可授予运动员技术等级的组别，具体标准按国家体育总局最新发布的《高尔夫球运动员技术等级标准》执行。</w:t>
      </w:r>
    </w:p>
    <w:p w14:paraId="3035931D">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 w:hAnsi="仿宋" w:eastAsia="仿宋" w:cs="仿宋"/>
          <w:b/>
          <w:sz w:val="28"/>
          <w:szCs w:val="28"/>
        </w:rPr>
      </w:pPr>
      <w:r>
        <w:rPr>
          <w:rFonts w:hint="eastAsia" w:ascii="仿宋" w:hAnsi="仿宋" w:eastAsia="仿宋" w:cs="仿宋"/>
          <w:b/>
          <w:sz w:val="28"/>
          <w:szCs w:val="28"/>
        </w:rPr>
        <w:t>十</w:t>
      </w:r>
      <w:r>
        <w:rPr>
          <w:rFonts w:hint="eastAsia" w:ascii="仿宋" w:hAnsi="仿宋" w:eastAsia="仿宋" w:cs="仿宋"/>
          <w:b/>
          <w:sz w:val="28"/>
          <w:szCs w:val="28"/>
          <w:lang w:eastAsia="zh-CN"/>
        </w:rPr>
        <w:t>五</w:t>
      </w:r>
      <w:r>
        <w:rPr>
          <w:rFonts w:hint="eastAsia" w:ascii="仿宋" w:hAnsi="仿宋" w:eastAsia="仿宋" w:cs="仿宋"/>
          <w:b/>
          <w:sz w:val="28"/>
          <w:szCs w:val="28"/>
        </w:rPr>
        <w:t>、其他</w:t>
      </w:r>
    </w:p>
    <w:p w14:paraId="12597F27">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（一）如本规程内容与本届运动会竞赛规程总则或上海市体育局相关规定发生冲突，则以本届运动会总则或上海市体育局规定为准。</w:t>
      </w:r>
    </w:p>
    <w:p w14:paraId="0E6FB6D0">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sz w:val="28"/>
          <w:szCs w:val="28"/>
        </w:rPr>
      </w:pPr>
      <w:bookmarkStart w:id="1" w:name="_Hlk162361054"/>
      <w:r>
        <w:rPr>
          <w:rFonts w:hint="eastAsia" w:ascii="仿宋" w:hAnsi="仿宋" w:eastAsia="仿宋" w:cs="仿宋"/>
          <w:sz w:val="28"/>
          <w:szCs w:val="28"/>
        </w:rPr>
        <w:t>（二）参赛单位运动员、教练员应知晓体育竞赛的相关风险，确保自己身体状况符合参赛要求，自行承担非承办单位故意或重大过失导致的伤害。</w:t>
      </w:r>
      <w:bookmarkEnd w:id="1"/>
    </w:p>
    <w:p w14:paraId="6EC51384">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（三）未尽事宜，另行通知。</w:t>
      </w:r>
    </w:p>
    <w:sectPr>
      <w:footerReference r:id="rId3" w:type="default"/>
      <w:footnotePr>
        <w:numRestart w:val="eachPage"/>
      </w:footnotePr>
      <w:type w:val="continuous"/>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FBABC">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46E3D">
                          <w:pPr>
                            <w:pStyle w:val="7"/>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AE46E3D">
                    <w:pPr>
                      <w:pStyle w:val="7"/>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B710"/>
    <w:multiLevelType w:val="singleLevel"/>
    <w:tmpl w:val="512BB710"/>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numRestart w:val="eachPag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ZmMxZDEyMTZlZjI0OWQyZjdkMGM0MmMxMmVmY2IifQ=="/>
  </w:docVars>
  <w:rsids>
    <w:rsidRoot w:val="0044278A"/>
    <w:rsid w:val="00263E70"/>
    <w:rsid w:val="002A225D"/>
    <w:rsid w:val="00322ECA"/>
    <w:rsid w:val="0038156C"/>
    <w:rsid w:val="00402254"/>
    <w:rsid w:val="00431B88"/>
    <w:rsid w:val="0044278A"/>
    <w:rsid w:val="004E07DD"/>
    <w:rsid w:val="00607D0B"/>
    <w:rsid w:val="009F1215"/>
    <w:rsid w:val="00A36BF1"/>
    <w:rsid w:val="00A70EC1"/>
    <w:rsid w:val="00A73759"/>
    <w:rsid w:val="00B01952"/>
    <w:rsid w:val="00B876DC"/>
    <w:rsid w:val="00CC1FF9"/>
    <w:rsid w:val="00F16E78"/>
    <w:rsid w:val="00F52FCA"/>
    <w:rsid w:val="00F93AA1"/>
    <w:rsid w:val="011D7AC8"/>
    <w:rsid w:val="018471CB"/>
    <w:rsid w:val="05EA2DDC"/>
    <w:rsid w:val="06495F66"/>
    <w:rsid w:val="07222102"/>
    <w:rsid w:val="0C085D6A"/>
    <w:rsid w:val="0C2D75F9"/>
    <w:rsid w:val="0CEE31B2"/>
    <w:rsid w:val="0D4A736B"/>
    <w:rsid w:val="0F645DEB"/>
    <w:rsid w:val="11F6616E"/>
    <w:rsid w:val="122D52DF"/>
    <w:rsid w:val="128750E9"/>
    <w:rsid w:val="13482EF0"/>
    <w:rsid w:val="137C0CCD"/>
    <w:rsid w:val="13893C35"/>
    <w:rsid w:val="1573694A"/>
    <w:rsid w:val="159A0089"/>
    <w:rsid w:val="159E0C56"/>
    <w:rsid w:val="15BF393E"/>
    <w:rsid w:val="15DF7B3C"/>
    <w:rsid w:val="166555B9"/>
    <w:rsid w:val="16BE21D6"/>
    <w:rsid w:val="176D168A"/>
    <w:rsid w:val="1AD02542"/>
    <w:rsid w:val="1F280654"/>
    <w:rsid w:val="214327D3"/>
    <w:rsid w:val="22583240"/>
    <w:rsid w:val="237A70F6"/>
    <w:rsid w:val="24737D7D"/>
    <w:rsid w:val="26186B49"/>
    <w:rsid w:val="263D47DB"/>
    <w:rsid w:val="265C6FB2"/>
    <w:rsid w:val="27247AA4"/>
    <w:rsid w:val="277420AE"/>
    <w:rsid w:val="29420E33"/>
    <w:rsid w:val="2AC97C2B"/>
    <w:rsid w:val="2BF01C4F"/>
    <w:rsid w:val="2DA717B3"/>
    <w:rsid w:val="2FB813E8"/>
    <w:rsid w:val="2FEA689F"/>
    <w:rsid w:val="3092596C"/>
    <w:rsid w:val="30E042DC"/>
    <w:rsid w:val="32B141B6"/>
    <w:rsid w:val="34161761"/>
    <w:rsid w:val="343B642D"/>
    <w:rsid w:val="34441786"/>
    <w:rsid w:val="346D2A0F"/>
    <w:rsid w:val="35134DBF"/>
    <w:rsid w:val="35262C3A"/>
    <w:rsid w:val="375F4344"/>
    <w:rsid w:val="399530D6"/>
    <w:rsid w:val="3C7068B6"/>
    <w:rsid w:val="3C8269FD"/>
    <w:rsid w:val="3F053675"/>
    <w:rsid w:val="409B6CE3"/>
    <w:rsid w:val="40A93D9C"/>
    <w:rsid w:val="40FB141E"/>
    <w:rsid w:val="41EC4A93"/>
    <w:rsid w:val="451A5BEB"/>
    <w:rsid w:val="451A7564"/>
    <w:rsid w:val="47200B2E"/>
    <w:rsid w:val="48D917E2"/>
    <w:rsid w:val="492928A1"/>
    <w:rsid w:val="4C0044DE"/>
    <w:rsid w:val="4C3677AE"/>
    <w:rsid w:val="4C97537F"/>
    <w:rsid w:val="4D894B47"/>
    <w:rsid w:val="52064F2F"/>
    <w:rsid w:val="52415642"/>
    <w:rsid w:val="54656F00"/>
    <w:rsid w:val="57151371"/>
    <w:rsid w:val="57300569"/>
    <w:rsid w:val="57A91901"/>
    <w:rsid w:val="58427F87"/>
    <w:rsid w:val="58AC4E81"/>
    <w:rsid w:val="58EB286B"/>
    <w:rsid w:val="5A43492D"/>
    <w:rsid w:val="5AF328A2"/>
    <w:rsid w:val="5B9B48A2"/>
    <w:rsid w:val="5D442297"/>
    <w:rsid w:val="601F6193"/>
    <w:rsid w:val="61F720DA"/>
    <w:rsid w:val="621411B4"/>
    <w:rsid w:val="637D464D"/>
    <w:rsid w:val="64C450B7"/>
    <w:rsid w:val="6AB6633E"/>
    <w:rsid w:val="6ACF10A2"/>
    <w:rsid w:val="6AE71EEF"/>
    <w:rsid w:val="6D5E04BB"/>
    <w:rsid w:val="71CE4362"/>
    <w:rsid w:val="721970A7"/>
    <w:rsid w:val="72B312A9"/>
    <w:rsid w:val="73267CCD"/>
    <w:rsid w:val="73816615"/>
    <w:rsid w:val="74CB5BC5"/>
    <w:rsid w:val="76191423"/>
    <w:rsid w:val="77DC1019"/>
    <w:rsid w:val="794E57F6"/>
    <w:rsid w:val="7A631668"/>
    <w:rsid w:val="7A7B4A23"/>
    <w:rsid w:val="7A8A69B9"/>
    <w:rsid w:val="7AC53B96"/>
    <w:rsid w:val="7AEA523F"/>
    <w:rsid w:val="7B1B79EC"/>
    <w:rsid w:val="7D715BF1"/>
    <w:rsid w:val="7E3E411D"/>
    <w:rsid w:val="7F157B8F"/>
    <w:rsid w:val="FF7BC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2"/>
    <w:qFormat/>
    <w:uiPriority w:val="99"/>
    <w:pPr>
      <w:jc w:val="left"/>
    </w:pPr>
  </w:style>
  <w:style w:type="paragraph" w:styleId="4">
    <w:name w:val="Body Text Indent 2"/>
    <w:basedOn w:val="1"/>
    <w:qFormat/>
    <w:uiPriority w:val="0"/>
    <w:pPr>
      <w:widowControl/>
      <w:autoSpaceDE w:val="0"/>
      <w:autoSpaceDN w:val="0"/>
      <w:adjustRightInd w:val="0"/>
      <w:spacing w:line="360" w:lineRule="auto"/>
      <w:ind w:firstLine="560"/>
      <w:jc w:val="left"/>
    </w:pPr>
    <w:rPr>
      <w:rFonts w:ascii="楷体_GB2312" w:eastAsia="楷体_GB2312"/>
      <w:kern w:val="0"/>
      <w:sz w:val="28"/>
    </w:rPr>
  </w:style>
  <w:style w:type="paragraph" w:styleId="5">
    <w:name w:val="endnote text"/>
    <w:basedOn w:val="1"/>
    <w:link w:val="25"/>
    <w:qFormat/>
    <w:uiPriority w:val="99"/>
    <w:pPr>
      <w:snapToGrid w:val="0"/>
      <w:jc w:val="left"/>
    </w:pPr>
  </w:style>
  <w:style w:type="paragraph" w:styleId="6">
    <w:name w:val="Balloon Text"/>
    <w:basedOn w:val="1"/>
    <w:link w:val="21"/>
    <w:qFormat/>
    <w:uiPriority w:val="99"/>
    <w:rPr>
      <w:sz w:val="18"/>
      <w:szCs w:val="18"/>
    </w:rPr>
  </w:style>
  <w:style w:type="paragraph" w:styleId="7">
    <w:name w:val="footer"/>
    <w:basedOn w:val="1"/>
    <w:link w:val="19"/>
    <w:qFormat/>
    <w:uiPriority w:val="99"/>
    <w:pPr>
      <w:tabs>
        <w:tab w:val="center" w:pos="4153"/>
        <w:tab w:val="right" w:pos="8306"/>
      </w:tabs>
      <w:snapToGrid w:val="0"/>
      <w:jc w:val="left"/>
    </w:pPr>
    <w:rPr>
      <w:sz w:val="18"/>
      <w:szCs w:val="18"/>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24"/>
    <w:qFormat/>
    <w:uiPriority w:val="99"/>
    <w:pPr>
      <w:snapToGrid w:val="0"/>
      <w:jc w:val="left"/>
    </w:pPr>
    <w:rPr>
      <w:sz w:val="18"/>
      <w:szCs w:val="18"/>
    </w:rPr>
  </w:style>
  <w:style w:type="paragraph" w:styleId="10">
    <w:name w:val="annotation subject"/>
    <w:basedOn w:val="3"/>
    <w:next w:val="3"/>
    <w:link w:val="23"/>
    <w:qFormat/>
    <w:uiPriority w:val="99"/>
    <w:rPr>
      <w:b/>
      <w:bCs/>
    </w:rPr>
  </w:style>
  <w:style w:type="table" w:styleId="12">
    <w:name w:val="Table Grid"/>
    <w:basedOn w:val="11"/>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ndnote reference"/>
    <w:basedOn w:val="13"/>
    <w:qFormat/>
    <w:uiPriority w:val="99"/>
    <w:rPr>
      <w:vertAlign w:val="superscript"/>
    </w:rPr>
  </w:style>
  <w:style w:type="character" w:styleId="15">
    <w:name w:val="Hyperlink"/>
    <w:basedOn w:val="13"/>
    <w:qFormat/>
    <w:uiPriority w:val="99"/>
    <w:rPr>
      <w:color w:val="0000FF"/>
      <w:u w:val="single"/>
    </w:rPr>
  </w:style>
  <w:style w:type="character" w:styleId="16">
    <w:name w:val="annotation reference"/>
    <w:basedOn w:val="13"/>
    <w:qFormat/>
    <w:uiPriority w:val="99"/>
    <w:rPr>
      <w:sz w:val="21"/>
      <w:szCs w:val="21"/>
    </w:rPr>
  </w:style>
  <w:style w:type="character" w:styleId="17">
    <w:name w:val="footnote reference"/>
    <w:basedOn w:val="13"/>
    <w:qFormat/>
    <w:uiPriority w:val="99"/>
    <w:rPr>
      <w:vertAlign w:val="superscript"/>
    </w:rPr>
  </w:style>
  <w:style w:type="character" w:customStyle="1" w:styleId="18">
    <w:name w:val="页眉 字符"/>
    <w:basedOn w:val="13"/>
    <w:link w:val="8"/>
    <w:qFormat/>
    <w:uiPriority w:val="99"/>
    <w:rPr>
      <w:rFonts w:ascii="Calibri" w:hAnsi="Calibri" w:eastAsia="宋体" w:cs="Times New Roman"/>
      <w:sz w:val="18"/>
      <w:szCs w:val="18"/>
    </w:rPr>
  </w:style>
  <w:style w:type="character" w:customStyle="1" w:styleId="19">
    <w:name w:val="页脚 字符"/>
    <w:basedOn w:val="13"/>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character" w:customStyle="1" w:styleId="21">
    <w:name w:val="批注框文本 字符"/>
    <w:basedOn w:val="13"/>
    <w:link w:val="6"/>
    <w:qFormat/>
    <w:uiPriority w:val="99"/>
    <w:rPr>
      <w:rFonts w:ascii="Calibri" w:hAnsi="Calibri" w:eastAsia="宋体" w:cs="Times New Roman"/>
      <w:kern w:val="2"/>
      <w:sz w:val="18"/>
      <w:szCs w:val="18"/>
    </w:rPr>
  </w:style>
  <w:style w:type="character" w:customStyle="1" w:styleId="22">
    <w:name w:val="批注文字 字符"/>
    <w:basedOn w:val="13"/>
    <w:link w:val="3"/>
    <w:qFormat/>
    <w:uiPriority w:val="99"/>
    <w:rPr>
      <w:rFonts w:ascii="Calibri" w:hAnsi="Calibri" w:eastAsia="宋体" w:cs="Times New Roman"/>
      <w:kern w:val="2"/>
      <w:sz w:val="21"/>
      <w:szCs w:val="24"/>
    </w:rPr>
  </w:style>
  <w:style w:type="character" w:customStyle="1" w:styleId="23">
    <w:name w:val="批注主题 字符"/>
    <w:basedOn w:val="22"/>
    <w:link w:val="10"/>
    <w:qFormat/>
    <w:uiPriority w:val="0"/>
    <w:rPr>
      <w:rFonts w:ascii="Calibri" w:hAnsi="Calibri" w:eastAsia="宋体" w:cs="Times New Roman"/>
      <w:kern w:val="2"/>
      <w:sz w:val="21"/>
      <w:szCs w:val="24"/>
    </w:rPr>
  </w:style>
  <w:style w:type="character" w:customStyle="1" w:styleId="24">
    <w:name w:val="脚注文本 字符"/>
    <w:basedOn w:val="13"/>
    <w:link w:val="9"/>
    <w:qFormat/>
    <w:uiPriority w:val="99"/>
    <w:rPr>
      <w:rFonts w:ascii="Calibri" w:hAnsi="Calibri" w:eastAsia="宋体" w:cs="Times New Roman"/>
      <w:kern w:val="2"/>
      <w:sz w:val="18"/>
      <w:szCs w:val="18"/>
    </w:rPr>
  </w:style>
  <w:style w:type="character" w:customStyle="1" w:styleId="25">
    <w:name w:val="尾注文本 字符"/>
    <w:basedOn w:val="13"/>
    <w:link w:val="5"/>
    <w:qFormat/>
    <w:uiPriority w:val="99"/>
    <w:rPr>
      <w:rFonts w:ascii="Calibri" w:hAnsi="Calibri" w:eastAsia="宋体" w:cs="Times New Roman"/>
      <w:kern w:val="2"/>
      <w:sz w:val="21"/>
      <w:szCs w:val="24"/>
    </w:rPr>
  </w:style>
  <w:style w:type="paragraph" w:customStyle="1" w:styleId="26">
    <w:name w:val="Table Text"/>
    <w:basedOn w:val="1"/>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686</Words>
  <Characters>757</Characters>
  <Lines>22</Lines>
  <Paragraphs>6</Paragraphs>
  <TotalTime>0</TotalTime>
  <ScaleCrop>false</ScaleCrop>
  <LinksUpToDate>false</LinksUpToDate>
  <CharactersWithSpaces>757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2022-01-21T14:02:00Z</dcterms:created>
  <dc:creator>微软中国</dc:creator>
  <cp:lastModifiedBy>Xiangyou</cp:lastModifiedBy>
  <cp:lastPrinted>2026-04-01T07:13:00Z</cp:lastPrinted>
  <dcterms:modified xsi:type="dcterms:W3CDTF">2026-05-15T03:39:23Z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3B2F303A741B4DBEA60EDF46976FC8B8_13</vt:lpwstr>
  </property>
  <property fmtid="{D5CDD505-2E9C-101B-9397-08002B2CF9AE}" pid="4" name="KSOTemplateDocerSaveRecord">
    <vt:lpwstr>eyJoZGlkIjoiNjA2NmNjZDM3NzUzZGJhY2I3OTc1NzBkNDI5NDdhNTkiLCJ1c2VySWQiOiIxNDQ2MzUxODYzIn0=</vt:lpwstr>
  </property>
</Properties>
</file>