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235D90">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上海市第十八届运动会手球比赛（青少年组）</w:t>
      </w:r>
    </w:p>
    <w:p w14:paraId="7EC90C37">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190B555D">
      <w:pPr>
        <w:snapToGrid w:val="0"/>
        <w:spacing w:line="540" w:lineRule="exact"/>
        <w:jc w:val="center"/>
        <w:rPr>
          <w:rFonts w:ascii="宋体" w:hAnsi="宋体" w:cs="宋体"/>
          <w:b/>
          <w:bCs/>
          <w:sz w:val="36"/>
          <w:szCs w:val="36"/>
        </w:rPr>
      </w:pPr>
    </w:p>
    <w:p w14:paraId="0506B927">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6FCA8E2A">
      <w:pPr>
        <w:adjustRightInd w:val="0"/>
        <w:snapToGrid w:val="0"/>
        <w:spacing w:line="540" w:lineRule="exact"/>
        <w:ind w:firstLine="562" w:firstLineChars="200"/>
        <w:rPr>
          <w:rFonts w:ascii="仿宋" w:hAnsi="仿宋" w:eastAsia="仿宋" w:cs="仿宋"/>
          <w:bCs/>
          <w:sz w:val="28"/>
          <w:szCs w:val="28"/>
        </w:rPr>
      </w:pPr>
      <w:r>
        <w:rPr>
          <w:rFonts w:hint="eastAsia" w:ascii="仿宋" w:hAnsi="仿宋" w:eastAsia="仿宋" w:cs="仿宋"/>
          <w:b/>
          <w:sz w:val="28"/>
          <w:szCs w:val="28"/>
        </w:rPr>
        <w:t>二、承办单位：</w:t>
      </w:r>
      <w:r>
        <w:rPr>
          <w:rFonts w:hint="eastAsia" w:ascii="仿宋" w:hAnsi="仿宋" w:eastAsia="仿宋" w:cs="仿宋"/>
          <w:bCs/>
          <w:sz w:val="28"/>
          <w:szCs w:val="28"/>
        </w:rPr>
        <w:t>上海市长宁区体育局</w:t>
      </w:r>
    </w:p>
    <w:p w14:paraId="080F537F">
      <w:pPr>
        <w:adjustRightInd w:val="0"/>
        <w:snapToGrid w:val="0"/>
        <w:spacing w:line="540" w:lineRule="exact"/>
        <w:ind w:firstLine="2520" w:firstLineChars="900"/>
        <w:rPr>
          <w:rFonts w:ascii="仿宋" w:hAnsi="仿宋" w:eastAsia="仿宋" w:cs="仿宋"/>
          <w:bCs/>
          <w:sz w:val="28"/>
          <w:szCs w:val="28"/>
        </w:rPr>
      </w:pPr>
      <w:r>
        <w:rPr>
          <w:rFonts w:hint="eastAsia" w:ascii="仿宋" w:hAnsi="仿宋" w:eastAsia="仿宋" w:cs="仿宋"/>
          <w:bCs/>
          <w:sz w:val="28"/>
          <w:szCs w:val="28"/>
        </w:rPr>
        <w:t>上海市杨浦区体育局</w:t>
      </w:r>
    </w:p>
    <w:p w14:paraId="0B6A308F">
      <w:pPr>
        <w:adjustRightInd w:val="0"/>
        <w:snapToGrid w:val="0"/>
        <w:spacing w:line="540" w:lineRule="exact"/>
        <w:ind w:firstLine="2520" w:firstLineChars="900"/>
        <w:rPr>
          <w:rFonts w:ascii="仿宋" w:hAnsi="仿宋" w:eastAsia="仿宋" w:cs="仿宋"/>
          <w:bCs/>
          <w:sz w:val="28"/>
          <w:szCs w:val="28"/>
        </w:rPr>
      </w:pPr>
      <w:r>
        <w:rPr>
          <w:rFonts w:hint="eastAsia" w:ascii="仿宋" w:hAnsi="仿宋" w:eastAsia="仿宋" w:cs="仿宋"/>
          <w:bCs/>
          <w:sz w:val="28"/>
          <w:szCs w:val="28"/>
        </w:rPr>
        <w:t>上海市浦东新区文化体育和旅游局</w:t>
      </w:r>
    </w:p>
    <w:p w14:paraId="50BF2C30">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上海市竞技体育训练管理中心手曲棒垒球运动中心</w:t>
      </w:r>
    </w:p>
    <w:p w14:paraId="2D2304AD">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上海市手球协会</w:t>
      </w:r>
    </w:p>
    <w:p w14:paraId="44458FE8">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上海梵杰体育文化发展有限公司</w:t>
      </w:r>
    </w:p>
    <w:p w14:paraId="63A9C582">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上海市浦东新区周浦小学</w:t>
      </w:r>
    </w:p>
    <w:p w14:paraId="56E9868E">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上海浦东新区周浦云天社区体育俱乐部</w:t>
      </w:r>
    </w:p>
    <w:p w14:paraId="6BA923D1">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待定</w:t>
      </w:r>
    </w:p>
    <w:p w14:paraId="52CFFC3D">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2026年9-10月</w:t>
      </w:r>
    </w:p>
    <w:p w14:paraId="4D483954">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五、竞赛地点：</w:t>
      </w:r>
    </w:p>
    <w:p w14:paraId="14000E68">
      <w:pPr>
        <w:widowControl/>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男子AB组：上海市建青实验学校（上海市长宁区古羊路900号）</w:t>
      </w:r>
    </w:p>
    <w:p w14:paraId="1BF85EB7">
      <w:pPr>
        <w:widowControl/>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女子AB组：杨浦少体校综合训练馆（上海市杨浦区舒兰路50号）</w:t>
      </w:r>
    </w:p>
    <w:p w14:paraId="429EEE19">
      <w:pPr>
        <w:widowControl/>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男女C组：上海市浦东新区周浦小学文康路校区</w:t>
      </w:r>
    </w:p>
    <w:p w14:paraId="6D3579BE">
      <w:pPr>
        <w:widowControl/>
        <w:adjustRightInd w:val="0"/>
        <w:snapToGrid w:val="0"/>
        <w:spacing w:line="54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 xml:space="preserve">         （上海市浦东新区太平弄2号）</w:t>
      </w:r>
    </w:p>
    <w:p w14:paraId="4492B842">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4BB3A660">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10"/>
        <w:tblW w:w="8905" w:type="dxa"/>
        <w:tblInd w:w="8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04"/>
        <w:gridCol w:w="1944"/>
        <w:gridCol w:w="816"/>
        <w:gridCol w:w="2808"/>
        <w:gridCol w:w="2533"/>
      </w:tblGrid>
      <w:tr w14:paraId="1C955B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3" w:hRule="atLeast"/>
          <w:tblHeader/>
        </w:trPr>
        <w:tc>
          <w:tcPr>
            <w:tcW w:w="804" w:type="dxa"/>
            <w:tcBorders>
              <w:tl2br w:val="nil"/>
              <w:tr2bl w:val="nil"/>
            </w:tcBorders>
            <w:vAlign w:val="center"/>
          </w:tcPr>
          <w:p w14:paraId="46028804">
            <w:pPr>
              <w:ind w:left="9"/>
              <w:jc w:val="center"/>
              <w:rPr>
                <w:rFonts w:ascii="仿宋" w:hAnsi="仿宋" w:eastAsia="仿宋" w:cs="仿宋"/>
                <w:szCs w:val="21"/>
              </w:rPr>
            </w:pPr>
            <w:r>
              <w:rPr>
                <w:rFonts w:hint="eastAsia" w:ascii="仿宋" w:hAnsi="仿宋" w:eastAsia="仿宋" w:cs="仿宋"/>
                <w:b/>
                <w:bCs/>
                <w:szCs w:val="21"/>
              </w:rPr>
              <w:t>组别</w:t>
            </w:r>
          </w:p>
        </w:tc>
        <w:tc>
          <w:tcPr>
            <w:tcW w:w="1944" w:type="dxa"/>
            <w:tcBorders>
              <w:tl2br w:val="nil"/>
              <w:tr2bl w:val="nil"/>
            </w:tcBorders>
            <w:vAlign w:val="center"/>
          </w:tcPr>
          <w:p w14:paraId="6A28E4CE">
            <w:pPr>
              <w:ind w:left="23"/>
              <w:jc w:val="center"/>
              <w:rPr>
                <w:rFonts w:ascii="仿宋" w:hAnsi="仿宋" w:eastAsia="仿宋" w:cs="仿宋"/>
                <w:szCs w:val="21"/>
              </w:rPr>
            </w:pPr>
            <w:r>
              <w:rPr>
                <w:rFonts w:hint="eastAsia" w:ascii="仿宋" w:hAnsi="仿宋" w:eastAsia="仿宋" w:cs="仿宋"/>
                <w:b/>
                <w:bCs/>
                <w:szCs w:val="21"/>
              </w:rPr>
              <w:t>年龄段</w:t>
            </w:r>
          </w:p>
        </w:tc>
        <w:tc>
          <w:tcPr>
            <w:tcW w:w="816" w:type="dxa"/>
            <w:tcBorders>
              <w:tl2br w:val="nil"/>
              <w:tr2bl w:val="nil"/>
            </w:tcBorders>
            <w:vAlign w:val="center"/>
          </w:tcPr>
          <w:p w14:paraId="3DDEAD7E">
            <w:pPr>
              <w:ind w:left="49"/>
              <w:jc w:val="center"/>
              <w:rPr>
                <w:rFonts w:ascii="仿宋" w:hAnsi="仿宋" w:eastAsia="仿宋" w:cs="仿宋"/>
                <w:szCs w:val="21"/>
              </w:rPr>
            </w:pPr>
            <w:r>
              <w:rPr>
                <w:rFonts w:hint="eastAsia" w:ascii="仿宋" w:hAnsi="仿宋" w:eastAsia="仿宋" w:cs="仿宋"/>
                <w:b/>
                <w:bCs/>
                <w:szCs w:val="21"/>
              </w:rPr>
              <w:t>设项数</w:t>
            </w:r>
          </w:p>
        </w:tc>
        <w:tc>
          <w:tcPr>
            <w:tcW w:w="2808" w:type="dxa"/>
            <w:tcBorders>
              <w:tl2br w:val="nil"/>
              <w:tr2bl w:val="nil"/>
            </w:tcBorders>
            <w:vAlign w:val="center"/>
          </w:tcPr>
          <w:p w14:paraId="22B2A1E0">
            <w:pPr>
              <w:ind w:left="9"/>
              <w:jc w:val="center"/>
              <w:rPr>
                <w:rFonts w:ascii="仿宋" w:hAnsi="仿宋" w:eastAsia="仿宋" w:cs="仿宋"/>
                <w:b/>
                <w:bCs/>
                <w:szCs w:val="21"/>
              </w:rPr>
            </w:pPr>
            <w:r>
              <w:rPr>
                <w:rFonts w:hint="eastAsia" w:ascii="仿宋" w:hAnsi="仿宋" w:eastAsia="仿宋" w:cs="仿宋"/>
                <w:b/>
                <w:bCs/>
                <w:szCs w:val="21"/>
              </w:rPr>
              <w:t>男子</w:t>
            </w:r>
          </w:p>
        </w:tc>
        <w:tc>
          <w:tcPr>
            <w:tcW w:w="2533" w:type="dxa"/>
            <w:tcBorders>
              <w:tl2br w:val="nil"/>
              <w:tr2bl w:val="nil"/>
            </w:tcBorders>
            <w:vAlign w:val="center"/>
          </w:tcPr>
          <w:p w14:paraId="39F8E5D1">
            <w:pPr>
              <w:ind w:left="9"/>
              <w:jc w:val="center"/>
              <w:rPr>
                <w:rFonts w:ascii="仿宋" w:hAnsi="仿宋" w:eastAsia="仿宋" w:cs="仿宋"/>
                <w:b/>
                <w:bCs/>
                <w:szCs w:val="21"/>
              </w:rPr>
            </w:pPr>
            <w:r>
              <w:rPr>
                <w:rFonts w:hint="eastAsia" w:ascii="仿宋" w:hAnsi="仿宋" w:eastAsia="仿宋" w:cs="仿宋"/>
                <w:b/>
                <w:bCs/>
                <w:szCs w:val="21"/>
              </w:rPr>
              <w:t>女子</w:t>
            </w:r>
          </w:p>
        </w:tc>
      </w:tr>
      <w:tr w14:paraId="61D4FF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trPr>
        <w:tc>
          <w:tcPr>
            <w:tcW w:w="804" w:type="dxa"/>
            <w:tcBorders>
              <w:tl2br w:val="nil"/>
              <w:tr2bl w:val="nil"/>
            </w:tcBorders>
            <w:vAlign w:val="center"/>
          </w:tcPr>
          <w:p w14:paraId="28EF3E8F">
            <w:pPr>
              <w:ind w:left="27" w:leftChars="13"/>
              <w:jc w:val="center"/>
              <w:rPr>
                <w:rFonts w:ascii="仿宋" w:hAnsi="仿宋" w:eastAsia="仿宋" w:cs="仿宋"/>
                <w:szCs w:val="21"/>
              </w:rPr>
            </w:pPr>
            <w:r>
              <w:rPr>
                <w:rFonts w:hint="eastAsia" w:ascii="仿宋" w:hAnsi="仿宋" w:eastAsia="仿宋" w:cs="仿宋"/>
                <w:szCs w:val="21"/>
              </w:rPr>
              <w:t>A</w:t>
            </w:r>
          </w:p>
        </w:tc>
        <w:tc>
          <w:tcPr>
            <w:tcW w:w="1944" w:type="dxa"/>
            <w:tcBorders>
              <w:tl2br w:val="nil"/>
              <w:tr2bl w:val="nil"/>
            </w:tcBorders>
            <w:vAlign w:val="center"/>
          </w:tcPr>
          <w:p w14:paraId="7D3FB62F">
            <w:pPr>
              <w:ind w:left="21" w:leftChars="10"/>
              <w:jc w:val="center"/>
              <w:rPr>
                <w:rFonts w:ascii="仿宋" w:hAnsi="仿宋" w:eastAsia="仿宋" w:cs="仿宋"/>
                <w:szCs w:val="21"/>
              </w:rPr>
            </w:pPr>
            <w:r>
              <w:rPr>
                <w:rFonts w:hint="eastAsia" w:ascii="仿宋" w:hAnsi="仿宋" w:eastAsia="仿宋" w:cs="仿宋"/>
                <w:szCs w:val="21"/>
              </w:rPr>
              <w:t>08.9.1-10.12.31</w:t>
            </w:r>
          </w:p>
        </w:tc>
        <w:tc>
          <w:tcPr>
            <w:tcW w:w="816" w:type="dxa"/>
            <w:tcBorders>
              <w:tl2br w:val="nil"/>
              <w:tr2bl w:val="nil"/>
            </w:tcBorders>
            <w:vAlign w:val="center"/>
          </w:tcPr>
          <w:p w14:paraId="103D18CC">
            <w:pPr>
              <w:jc w:val="center"/>
              <w:rPr>
                <w:rFonts w:ascii="仿宋" w:hAnsi="仿宋" w:eastAsia="仿宋" w:cs="仿宋"/>
                <w:szCs w:val="21"/>
              </w:rPr>
            </w:pPr>
            <w:r>
              <w:rPr>
                <w:rFonts w:hint="eastAsia" w:ascii="仿宋" w:hAnsi="仿宋" w:eastAsia="仿宋" w:cs="仿宋"/>
                <w:szCs w:val="21"/>
              </w:rPr>
              <w:t>2</w:t>
            </w:r>
          </w:p>
        </w:tc>
        <w:tc>
          <w:tcPr>
            <w:tcW w:w="2808" w:type="dxa"/>
            <w:tcBorders>
              <w:tl2br w:val="nil"/>
              <w:tr2bl w:val="nil"/>
            </w:tcBorders>
            <w:vAlign w:val="center"/>
          </w:tcPr>
          <w:p w14:paraId="12ECF6FF">
            <w:pPr>
              <w:jc w:val="center"/>
              <w:rPr>
                <w:rFonts w:ascii="仿宋" w:hAnsi="仿宋" w:eastAsia="仿宋" w:cs="仿宋"/>
                <w:szCs w:val="21"/>
              </w:rPr>
            </w:pPr>
            <w:r>
              <w:rPr>
                <w:rFonts w:hint="eastAsia" w:ascii="仿宋" w:hAnsi="仿宋" w:eastAsia="仿宋" w:cs="仿宋"/>
                <w:szCs w:val="21"/>
              </w:rPr>
              <w:t>手球（七人制）</w:t>
            </w:r>
          </w:p>
        </w:tc>
        <w:tc>
          <w:tcPr>
            <w:tcW w:w="2533" w:type="dxa"/>
            <w:tcBorders>
              <w:tl2br w:val="nil"/>
              <w:tr2bl w:val="nil"/>
            </w:tcBorders>
            <w:vAlign w:val="center"/>
          </w:tcPr>
          <w:p w14:paraId="27CC408C">
            <w:pPr>
              <w:ind w:left="73" w:leftChars="35"/>
              <w:jc w:val="center"/>
              <w:rPr>
                <w:rFonts w:ascii="仿宋" w:hAnsi="仿宋" w:eastAsia="仿宋" w:cs="仿宋"/>
                <w:szCs w:val="21"/>
              </w:rPr>
            </w:pPr>
            <w:r>
              <w:rPr>
                <w:rFonts w:hint="eastAsia" w:ascii="仿宋" w:hAnsi="仿宋" w:eastAsia="仿宋" w:cs="仿宋"/>
                <w:szCs w:val="21"/>
              </w:rPr>
              <w:t>手球（七人制）</w:t>
            </w:r>
          </w:p>
        </w:tc>
      </w:tr>
      <w:tr w14:paraId="3E46B1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2" w:hRule="atLeast"/>
        </w:trPr>
        <w:tc>
          <w:tcPr>
            <w:tcW w:w="804" w:type="dxa"/>
            <w:tcBorders>
              <w:tl2br w:val="nil"/>
              <w:tr2bl w:val="nil"/>
            </w:tcBorders>
            <w:vAlign w:val="center"/>
          </w:tcPr>
          <w:p w14:paraId="4351CDB0">
            <w:pPr>
              <w:ind w:left="27" w:leftChars="13"/>
              <w:jc w:val="center"/>
              <w:rPr>
                <w:rFonts w:ascii="仿宋" w:hAnsi="仿宋" w:eastAsia="仿宋" w:cs="仿宋"/>
                <w:szCs w:val="21"/>
              </w:rPr>
            </w:pPr>
            <w:r>
              <w:rPr>
                <w:rFonts w:hint="eastAsia" w:ascii="仿宋" w:hAnsi="仿宋" w:eastAsia="仿宋" w:cs="仿宋"/>
                <w:szCs w:val="21"/>
              </w:rPr>
              <w:t>B</w:t>
            </w:r>
          </w:p>
        </w:tc>
        <w:tc>
          <w:tcPr>
            <w:tcW w:w="1944" w:type="dxa"/>
            <w:tcBorders>
              <w:tl2br w:val="nil"/>
              <w:tr2bl w:val="nil"/>
            </w:tcBorders>
            <w:vAlign w:val="center"/>
          </w:tcPr>
          <w:p w14:paraId="344CA7B0">
            <w:pPr>
              <w:ind w:left="21" w:leftChars="10"/>
              <w:jc w:val="center"/>
              <w:rPr>
                <w:rFonts w:ascii="仿宋" w:hAnsi="仿宋" w:eastAsia="仿宋" w:cs="仿宋"/>
                <w:szCs w:val="21"/>
              </w:rPr>
            </w:pPr>
            <w:r>
              <w:rPr>
                <w:rFonts w:hint="eastAsia" w:ascii="仿宋" w:hAnsi="仿宋" w:eastAsia="仿宋" w:cs="仿宋"/>
                <w:spacing w:val="-1"/>
                <w:szCs w:val="21"/>
              </w:rPr>
              <w:t>11.1.1-14.12.31</w:t>
            </w:r>
          </w:p>
        </w:tc>
        <w:tc>
          <w:tcPr>
            <w:tcW w:w="816" w:type="dxa"/>
            <w:tcBorders>
              <w:tl2br w:val="nil"/>
              <w:tr2bl w:val="nil"/>
            </w:tcBorders>
            <w:vAlign w:val="center"/>
          </w:tcPr>
          <w:p w14:paraId="7BC9E11A">
            <w:pPr>
              <w:jc w:val="center"/>
              <w:rPr>
                <w:rFonts w:ascii="仿宋" w:hAnsi="仿宋" w:eastAsia="仿宋" w:cs="仿宋"/>
                <w:szCs w:val="21"/>
              </w:rPr>
            </w:pPr>
            <w:r>
              <w:rPr>
                <w:rFonts w:hint="eastAsia" w:ascii="仿宋" w:hAnsi="仿宋" w:eastAsia="仿宋" w:cs="仿宋"/>
                <w:szCs w:val="21"/>
              </w:rPr>
              <w:t>2</w:t>
            </w:r>
          </w:p>
        </w:tc>
        <w:tc>
          <w:tcPr>
            <w:tcW w:w="2808" w:type="dxa"/>
            <w:tcBorders>
              <w:tl2br w:val="nil"/>
              <w:tr2bl w:val="nil"/>
            </w:tcBorders>
            <w:vAlign w:val="center"/>
          </w:tcPr>
          <w:p w14:paraId="0ACD9E4E">
            <w:pPr>
              <w:jc w:val="center"/>
              <w:rPr>
                <w:rFonts w:ascii="仿宋" w:hAnsi="仿宋" w:eastAsia="仿宋" w:cs="仿宋"/>
                <w:szCs w:val="21"/>
              </w:rPr>
            </w:pPr>
            <w:r>
              <w:rPr>
                <w:rFonts w:hint="eastAsia" w:ascii="仿宋" w:hAnsi="仿宋" w:eastAsia="仿宋" w:cs="仿宋"/>
                <w:szCs w:val="21"/>
              </w:rPr>
              <w:t>手球（七人制）</w:t>
            </w:r>
          </w:p>
        </w:tc>
        <w:tc>
          <w:tcPr>
            <w:tcW w:w="2533" w:type="dxa"/>
            <w:tcBorders>
              <w:tl2br w:val="nil"/>
              <w:tr2bl w:val="nil"/>
            </w:tcBorders>
            <w:vAlign w:val="center"/>
          </w:tcPr>
          <w:p w14:paraId="0D3ED38E">
            <w:pPr>
              <w:ind w:left="73" w:leftChars="35"/>
              <w:jc w:val="center"/>
              <w:rPr>
                <w:rFonts w:ascii="仿宋" w:hAnsi="仿宋" w:eastAsia="仿宋" w:cs="仿宋"/>
                <w:szCs w:val="21"/>
              </w:rPr>
            </w:pPr>
            <w:r>
              <w:rPr>
                <w:rFonts w:hint="eastAsia" w:ascii="仿宋" w:hAnsi="仿宋" w:eastAsia="仿宋" w:cs="仿宋"/>
                <w:szCs w:val="21"/>
              </w:rPr>
              <w:t>手球（七人制）</w:t>
            </w:r>
          </w:p>
        </w:tc>
      </w:tr>
      <w:tr w14:paraId="2653BB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1" w:hRule="atLeast"/>
        </w:trPr>
        <w:tc>
          <w:tcPr>
            <w:tcW w:w="804" w:type="dxa"/>
            <w:tcBorders>
              <w:tl2br w:val="nil"/>
              <w:tr2bl w:val="nil"/>
            </w:tcBorders>
            <w:vAlign w:val="center"/>
          </w:tcPr>
          <w:p w14:paraId="391156F9">
            <w:pPr>
              <w:ind w:left="27" w:leftChars="13"/>
              <w:jc w:val="center"/>
              <w:rPr>
                <w:rFonts w:ascii="仿宋" w:hAnsi="仿宋" w:eastAsia="仿宋" w:cs="仿宋"/>
                <w:szCs w:val="21"/>
              </w:rPr>
            </w:pPr>
            <w:r>
              <w:rPr>
                <w:rFonts w:hint="eastAsia" w:ascii="仿宋" w:hAnsi="仿宋" w:eastAsia="仿宋" w:cs="仿宋"/>
                <w:szCs w:val="21"/>
              </w:rPr>
              <w:t>C</w:t>
            </w:r>
          </w:p>
        </w:tc>
        <w:tc>
          <w:tcPr>
            <w:tcW w:w="1944" w:type="dxa"/>
            <w:tcBorders>
              <w:tl2br w:val="nil"/>
              <w:tr2bl w:val="nil"/>
            </w:tcBorders>
            <w:vAlign w:val="center"/>
          </w:tcPr>
          <w:p w14:paraId="69426705">
            <w:pPr>
              <w:ind w:left="21" w:leftChars="10"/>
              <w:jc w:val="center"/>
              <w:rPr>
                <w:rFonts w:ascii="仿宋" w:hAnsi="仿宋" w:eastAsia="仿宋" w:cs="仿宋"/>
                <w:szCs w:val="21"/>
              </w:rPr>
            </w:pPr>
            <w:r>
              <w:rPr>
                <w:rFonts w:hint="eastAsia" w:ascii="仿宋" w:hAnsi="仿宋" w:eastAsia="仿宋" w:cs="仿宋"/>
                <w:spacing w:val="-1"/>
                <w:szCs w:val="21"/>
              </w:rPr>
              <w:t>15.1.1-17.12.31</w:t>
            </w:r>
          </w:p>
        </w:tc>
        <w:tc>
          <w:tcPr>
            <w:tcW w:w="816" w:type="dxa"/>
            <w:tcBorders>
              <w:tl2br w:val="nil"/>
              <w:tr2bl w:val="nil"/>
            </w:tcBorders>
            <w:vAlign w:val="center"/>
          </w:tcPr>
          <w:p w14:paraId="33771F7B">
            <w:pPr>
              <w:jc w:val="center"/>
              <w:rPr>
                <w:rFonts w:ascii="仿宋" w:hAnsi="仿宋" w:eastAsia="仿宋" w:cs="仿宋"/>
                <w:szCs w:val="21"/>
              </w:rPr>
            </w:pPr>
            <w:r>
              <w:rPr>
                <w:rFonts w:hint="eastAsia" w:ascii="仿宋" w:hAnsi="仿宋" w:eastAsia="仿宋" w:cs="仿宋"/>
                <w:szCs w:val="21"/>
              </w:rPr>
              <w:t>2</w:t>
            </w:r>
          </w:p>
        </w:tc>
        <w:tc>
          <w:tcPr>
            <w:tcW w:w="2808" w:type="dxa"/>
            <w:tcBorders>
              <w:tl2br w:val="nil"/>
              <w:tr2bl w:val="nil"/>
            </w:tcBorders>
            <w:vAlign w:val="center"/>
          </w:tcPr>
          <w:p w14:paraId="7BFF8467">
            <w:pPr>
              <w:jc w:val="center"/>
              <w:rPr>
                <w:rFonts w:ascii="仿宋" w:hAnsi="仿宋" w:eastAsia="仿宋" w:cs="仿宋"/>
                <w:szCs w:val="21"/>
              </w:rPr>
            </w:pPr>
            <w:r>
              <w:rPr>
                <w:rFonts w:hint="eastAsia" w:ascii="仿宋" w:hAnsi="仿宋" w:eastAsia="仿宋" w:cs="仿宋"/>
                <w:szCs w:val="21"/>
              </w:rPr>
              <w:t>手球（五人制）</w:t>
            </w:r>
          </w:p>
        </w:tc>
        <w:tc>
          <w:tcPr>
            <w:tcW w:w="2533" w:type="dxa"/>
            <w:tcBorders>
              <w:tl2br w:val="nil"/>
              <w:tr2bl w:val="nil"/>
            </w:tcBorders>
            <w:vAlign w:val="center"/>
          </w:tcPr>
          <w:p w14:paraId="148751A4">
            <w:pPr>
              <w:ind w:left="73" w:leftChars="35"/>
              <w:jc w:val="center"/>
              <w:rPr>
                <w:rFonts w:ascii="仿宋" w:hAnsi="仿宋" w:eastAsia="仿宋" w:cs="仿宋"/>
                <w:szCs w:val="21"/>
              </w:rPr>
            </w:pPr>
            <w:r>
              <w:rPr>
                <w:rFonts w:hint="eastAsia" w:ascii="仿宋" w:hAnsi="仿宋" w:eastAsia="仿宋" w:cs="仿宋"/>
                <w:szCs w:val="21"/>
              </w:rPr>
              <w:t>手球（五人制）</w:t>
            </w:r>
          </w:p>
        </w:tc>
      </w:tr>
    </w:tbl>
    <w:p w14:paraId="754EC1D2">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696E9EE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3D4043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07B2F0E7">
      <w:pPr>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（三）参赛运动员必须是2026年在本市有效注册的青少年运动员，并持本人当年有效的《上海市青少年运动员注册卡》参赛。</w:t>
      </w:r>
      <w:bookmarkEnd w:id="0"/>
    </w:p>
    <w:p w14:paraId="76D07A7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（四）体能测试参赛门槛</w:t>
      </w:r>
    </w:p>
    <w:p w14:paraId="36F85D4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（1）A组2008年9月1日至2010年8月31日出生的运动员和C组2017年1月1日及以后出生的运动员可直接参加本次比赛。</w:t>
      </w:r>
    </w:p>
    <w:p w14:paraId="711EA86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（2）A组2010年9月1日及以后出生的运动员，以及B、C组2015年1月1日至2016年12月31日出生的运动员须参加2026年上海市手球二线体能测试赛并获得30分及以上，方可参加本次比赛。</w:t>
      </w:r>
    </w:p>
    <w:p w14:paraId="402E97A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567D032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14EE4044">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13242F6C">
      <w:pPr>
        <w:numPr>
          <w:ilvl w:val="255"/>
          <w:numId w:val="0"/>
        </w:numPr>
        <w:spacing w:line="54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372D4C8B">
      <w:pPr>
        <w:numPr>
          <w:ilvl w:val="255"/>
          <w:numId w:val="0"/>
        </w:num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（九）本届市运会教练员须是2026年在本市有效注册的青训教练员，方可报名参赛。</w:t>
      </w:r>
    </w:p>
    <w:p w14:paraId="6E3BF6FB">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w:t>
      </w:r>
    </w:p>
    <w:p w14:paraId="558593AC">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（一）各区各组别可报1支队，每队须报领队1名、主教练1名，可报助理教练1-2名、队医1名，A、B组可报运动员7-16人；C组可报运动员6-12人。</w:t>
      </w:r>
    </w:p>
    <w:p w14:paraId="5AC6DEFD">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（二）交流运动员报名人数不超过该组别实际报名人数30%（按四舍五入计），上场人数不超过1人。</w:t>
      </w:r>
    </w:p>
    <w:p w14:paraId="1A656B7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单位通过大会指定的网站www.aijingsai.cn（上海青少年体育赛事网）进行网上报名，并在规定时间内将导出打印的报名表加盖公章后，一式两份报大会组委会竞赛部（地址：徐汇区零陵路800号8楼，竞赛部，31211118）。</w:t>
      </w:r>
    </w:p>
    <w:p w14:paraId="3FD8D973">
      <w:pPr>
        <w:adjustRightInd w:val="0"/>
        <w:snapToGrid w:val="0"/>
        <w:spacing w:line="540" w:lineRule="exact"/>
        <w:ind w:firstLine="560" w:firstLineChars="200"/>
        <w:rPr>
          <w:rFonts w:ascii="仿宋" w:hAnsi="仿宋" w:eastAsia="仿宋" w:cs="仿宋"/>
          <w:b w:val="0"/>
          <w:bCs w:val="0"/>
          <w:sz w:val="28"/>
          <w:szCs w:val="28"/>
        </w:rPr>
      </w:pPr>
      <w:bookmarkStart w:id="2" w:name="_GoBack"/>
      <w:r>
        <w:rPr>
          <w:rFonts w:hint="eastAsia" w:ascii="仿宋" w:hAnsi="仿宋" w:eastAsia="仿宋" w:cs="仿宋"/>
          <w:b w:val="0"/>
          <w:bCs w:val="0"/>
          <w:sz w:val="28"/>
          <w:szCs w:val="28"/>
        </w:rPr>
        <w:t>（四）本次比赛报名截止后，各队提交的参赛名单、运动员号码一律不得更改。运动员参赛时号码须与秩序册、报名表一致，否则不得上场参赛。</w:t>
      </w:r>
    </w:p>
    <w:bookmarkEnd w:id="2"/>
    <w:p w14:paraId="7D1AD81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技术会议、抽签仪式等会议具体时间地点由竞委会另行通知。参赛队伍的领队、主教练无故不参加技术会议、抽签仪式及竞委会召开的其它相关会议，将视情况给予该队伍领队或主教练停赛一场或数场的处理（经竞委会批准的除外）。</w:t>
      </w:r>
    </w:p>
    <w:p w14:paraId="09E18104">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2B1F3E03">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（一）竞赛规则</w:t>
      </w:r>
    </w:p>
    <w:p w14:paraId="689ABE79">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 A、B组为七人制手球比赛，采用中国手球协会最新审定公布的《手球竞赛规则》及有关规定执行。</w:t>
      </w:r>
    </w:p>
    <w:p w14:paraId="138A0971">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 C组为五人制手球比赛，采用中国手球协会最新审定公布的《五人制手球竞赛规则》（2020版），以下有关规定按照《2021年上海市小学生五人制手球开展方案（试行）》执行。</w:t>
      </w:r>
    </w:p>
    <w:p w14:paraId="3198F397">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（1）不执行5上5下规则；</w:t>
      </w:r>
    </w:p>
    <w:p w14:paraId="53C5C2E4">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（2）不执行全场紧逼规则；</w:t>
      </w:r>
    </w:p>
    <w:p w14:paraId="64D29944">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（3）上下半场开始时是中线开球，进球后由守门员直接在球门区内发球；</w:t>
      </w:r>
    </w:p>
    <w:p w14:paraId="7E4EA9E1">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（4）不设固定守门员，比赛队员服装统一；</w:t>
      </w:r>
    </w:p>
    <w:p w14:paraId="2AD81753">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（5）队员罚出场的受罚时间为1分钟；</w:t>
      </w:r>
    </w:p>
    <w:p w14:paraId="3F0384EC">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（6）不采用《五人制手球竞赛规则》（2020版）中的竞赛场地。</w:t>
      </w:r>
    </w:p>
    <w:p w14:paraId="050F2D4D">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（二）上场人数</w:t>
      </w:r>
    </w:p>
    <w:p w14:paraId="3249951A">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 xml:space="preserve"> A、B组上场人数为7人，C组上场人数为5人。</w:t>
      </w:r>
    </w:p>
    <w:p w14:paraId="4BE9CDC7">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（三）比赛编排原则</w:t>
      </w:r>
    </w:p>
    <w:p w14:paraId="78926031">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不分组比赛时，参赛球队按照2026年上海市青少年手球锦标赛各组别比赛成绩确定球队位置。分组比赛时，参赛球队按照2026年上海市青少年手球锦标赛各组别比赛成绩进行蛇形编排分组。如各组别同区获得多个名次的，取较高名次参加排位，后序名次依次向上递补。如未取得2026年上海市青少年手球锦标赛名次，则采用抽签的方式确定顺序（抽签方案和细则另行制定），依次排在已确定球队位置后面。</w:t>
      </w:r>
    </w:p>
    <w:p w14:paraId="228142F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2.所有单循环比赛均按照国际手球联合会规定的比赛编排方法进行竞赛日程编排。</w:t>
      </w:r>
    </w:p>
    <w:p w14:paraId="53F1FD3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3.分组编排确定后，若互有队员交流关系的球队恰好分在同一组别时，则该组别必须调整比赛轮次，将互有交流关系两支球队的比赛调整至第一轮进行（涉及该轮次的其他比赛也必须相应调整）。</w:t>
      </w:r>
    </w:p>
    <w:p w14:paraId="058C869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w:t>
      </w:r>
      <w:r>
        <w:rPr>
          <w:rFonts w:hint="eastAsia" w:ascii="仿宋" w:hAnsi="仿宋" w:eastAsia="仿宋" w:cs="仿宋"/>
          <w:sz w:val="28"/>
          <w:szCs w:val="28"/>
          <w:lang w:eastAsia="zh-Hans"/>
        </w:rPr>
        <w:t>比赛采用以下赛制：</w:t>
      </w:r>
    </w:p>
    <w:p w14:paraId="7B13431C">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1.各组参赛队为3支队，采用双循环的办法比赛，每场比赛须决出胜负。</w:t>
      </w:r>
    </w:p>
    <w:p w14:paraId="2D029298">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2.各组参赛队4—7支队，采用单循环的办法比赛，每场比赛须决出胜负。</w:t>
      </w:r>
    </w:p>
    <w:p w14:paraId="56BE89CA">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3.各组参赛队8—12支队，采用分两组，进行预、决赛的办法比赛，每场比赛须决出胜负。</w:t>
      </w:r>
    </w:p>
    <w:p w14:paraId="66B8E98A">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（1）预赛阶段：采用分组单循环的办法进行比赛，分成两组，排出各组比赛的名次。</w:t>
      </w:r>
    </w:p>
    <w:p w14:paraId="5EE44732">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（2）决赛阶段：预赛各组比赛前四名的球队进入决赛，决赛采用淘汰赛的方式进行比赛，直至决出最后名次。</w:t>
      </w:r>
    </w:p>
    <w:p w14:paraId="768C30DD">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决赛阶段日程如下：</w:t>
      </w:r>
    </w:p>
    <w:p w14:paraId="7B3B771B">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第一轮：  ①A1-B4；  ②A2-B3；  ③A3-B2； ④A4-B1；</w:t>
      </w:r>
    </w:p>
    <w:p w14:paraId="33554B82">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第二轮：  ⑤A1B4负—A3B2负；   ⑥A2B3负—A4B1负；</w:t>
      </w:r>
    </w:p>
    <w:p w14:paraId="6A3E8813">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 xml:space="preserve">          ⑦A1B4胜—A3B2胜；   ⑧A2B3胜—A4B1胜。</w:t>
      </w:r>
    </w:p>
    <w:p w14:paraId="7BF73689">
      <w:pPr>
        <w:adjustRightInd w:val="0"/>
        <w:snapToGrid w:val="0"/>
        <w:spacing w:line="440" w:lineRule="exact"/>
        <w:ind w:right="-40" w:rightChars="-19"/>
        <w:rPr>
          <w:rFonts w:ascii="仿宋" w:hAnsi="仿宋" w:eastAsia="仿宋" w:cs="仿宋"/>
          <w:sz w:val="28"/>
          <w:szCs w:val="28"/>
        </w:rPr>
      </w:pPr>
      <w:r>
        <w:rPr>
          <w:rFonts w:hint="eastAsia" w:ascii="仿宋" w:hAnsi="仿宋" w:eastAsia="仿宋" w:cs="仿宋"/>
          <w:sz w:val="28"/>
          <w:szCs w:val="28"/>
        </w:rPr>
        <w:t xml:space="preserve">    第三轮：  ⑤负—⑥负 决7-8名； </w:t>
      </w:r>
    </w:p>
    <w:p w14:paraId="55F42CB7">
      <w:pPr>
        <w:adjustRightInd w:val="0"/>
        <w:snapToGrid w:val="0"/>
        <w:spacing w:line="440" w:lineRule="exact"/>
        <w:ind w:right="-40" w:rightChars="-19" w:firstLine="1960" w:firstLineChars="700"/>
        <w:rPr>
          <w:rFonts w:ascii="仿宋" w:hAnsi="仿宋" w:eastAsia="仿宋" w:cs="仿宋"/>
          <w:sz w:val="28"/>
          <w:szCs w:val="28"/>
        </w:rPr>
      </w:pPr>
      <w:r>
        <w:rPr>
          <w:rFonts w:hint="eastAsia" w:ascii="仿宋" w:hAnsi="仿宋" w:eastAsia="仿宋" w:cs="仿宋"/>
          <w:sz w:val="28"/>
          <w:szCs w:val="28"/>
        </w:rPr>
        <w:t>⑤胜—⑥胜 决5-6名；</w:t>
      </w:r>
    </w:p>
    <w:p w14:paraId="13644791">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 xml:space="preserve">          ⑦负—⑧负 决3-4名；</w:t>
      </w:r>
    </w:p>
    <w:p w14:paraId="091A4C69">
      <w:pPr>
        <w:adjustRightInd w:val="0"/>
        <w:snapToGrid w:val="0"/>
        <w:spacing w:line="440" w:lineRule="exact"/>
        <w:ind w:right="-40" w:rightChars="-19" w:firstLine="1960" w:firstLineChars="700"/>
        <w:rPr>
          <w:rFonts w:ascii="仿宋" w:hAnsi="仿宋" w:eastAsia="仿宋" w:cs="仿宋"/>
          <w:sz w:val="28"/>
          <w:szCs w:val="28"/>
        </w:rPr>
      </w:pPr>
      <w:r>
        <w:rPr>
          <w:rFonts w:hint="eastAsia" w:ascii="仿宋" w:hAnsi="仿宋" w:eastAsia="仿宋" w:cs="仿宋"/>
          <w:sz w:val="28"/>
          <w:szCs w:val="28"/>
        </w:rPr>
        <w:t>⑦胜—⑧胜 决1-2名。</w:t>
      </w:r>
    </w:p>
    <w:p w14:paraId="50F21D9A">
      <w:pPr>
        <w:numPr>
          <w:ilvl w:val="255"/>
          <w:numId w:val="0"/>
        </w:num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（3）各组第五名及以后的球队不再进行比赛。</w:t>
      </w:r>
    </w:p>
    <w:p w14:paraId="73668564">
      <w:pPr>
        <w:numPr>
          <w:ilvl w:val="255"/>
          <w:numId w:val="0"/>
        </w:numPr>
        <w:adjustRightInd w:val="0"/>
        <w:snapToGrid w:val="0"/>
        <w:spacing w:line="440" w:lineRule="exact"/>
        <w:ind w:right="-40" w:rightChars="-19"/>
        <w:rPr>
          <w:rFonts w:ascii="仿宋" w:hAnsi="仿宋" w:eastAsia="仿宋" w:cs="仿宋"/>
          <w:sz w:val="28"/>
          <w:szCs w:val="28"/>
        </w:rPr>
      </w:pPr>
      <w:r>
        <w:rPr>
          <w:rFonts w:ascii="仿宋" w:hAnsi="仿宋" w:eastAsia="仿宋" w:cs="仿宋"/>
          <w:sz w:val="28"/>
          <w:szCs w:val="28"/>
        </w:rPr>
        <w:t xml:space="preserve">    4.</w:t>
      </w:r>
      <w:r>
        <w:rPr>
          <w:rFonts w:hint="eastAsia" w:ascii="仿宋" w:hAnsi="仿宋" w:eastAsia="仿宋" w:cs="仿宋"/>
          <w:sz w:val="28"/>
          <w:szCs w:val="28"/>
        </w:rPr>
        <w:t>各组参赛队达到13支队及以上，采用分四组，进行预、决赛的办法比赛。</w:t>
      </w:r>
    </w:p>
    <w:p w14:paraId="3F185579">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（1）预赛阶段：采用分组单循环的办法进行比赛，分成四组，排出各组的名次。</w:t>
      </w:r>
    </w:p>
    <w:p w14:paraId="2393DE72">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（2）决赛阶段：预赛各组比赛前两名的球队进入决赛，决赛采用淘汰赛的方式进行比赛，直至决出最后名次。</w:t>
      </w:r>
    </w:p>
    <w:p w14:paraId="7AC98CEF">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 xml:space="preserve">   决赛阶段日程如下：</w:t>
      </w:r>
    </w:p>
    <w:p w14:paraId="21309EA4">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第一轮：  ①A1-C2；  ②A2-C1；  ③B1-D2；  ④B2-D1。</w:t>
      </w:r>
    </w:p>
    <w:p w14:paraId="6142D01E">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第二轮：  ⑤A1C2负—B1D2负；   ⑥A2C1负—B2D1负；</w:t>
      </w:r>
    </w:p>
    <w:p w14:paraId="5B37073B">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 xml:space="preserve">          ⑦A1C2胜—B1D2胜；   ⑧A2C1胜—B2D1胜。</w:t>
      </w:r>
    </w:p>
    <w:p w14:paraId="691D57B2">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 xml:space="preserve">第三轮：  ⑤负—⑥负 决7-8名； </w:t>
      </w:r>
    </w:p>
    <w:p w14:paraId="25BA2BC5">
      <w:pPr>
        <w:adjustRightInd w:val="0"/>
        <w:snapToGrid w:val="0"/>
        <w:spacing w:line="440" w:lineRule="exact"/>
        <w:ind w:right="-40" w:rightChars="-19" w:firstLine="1960" w:firstLineChars="700"/>
        <w:rPr>
          <w:rFonts w:ascii="仿宋" w:hAnsi="仿宋" w:eastAsia="仿宋" w:cs="仿宋"/>
          <w:sz w:val="28"/>
          <w:szCs w:val="28"/>
        </w:rPr>
      </w:pPr>
      <w:r>
        <w:rPr>
          <w:rFonts w:hint="eastAsia" w:ascii="仿宋" w:hAnsi="仿宋" w:eastAsia="仿宋" w:cs="仿宋"/>
          <w:sz w:val="28"/>
          <w:szCs w:val="28"/>
        </w:rPr>
        <w:t>⑤胜—⑥胜 决5-6名；</w:t>
      </w:r>
    </w:p>
    <w:p w14:paraId="722DF1D1">
      <w:p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 xml:space="preserve">          ⑦负—⑧负 决3-4名；</w:t>
      </w:r>
    </w:p>
    <w:p w14:paraId="67A2C32E">
      <w:pPr>
        <w:adjustRightInd w:val="0"/>
        <w:snapToGrid w:val="0"/>
        <w:spacing w:line="440" w:lineRule="exact"/>
        <w:ind w:right="-40" w:rightChars="-19" w:firstLine="1960" w:firstLineChars="700"/>
        <w:rPr>
          <w:rFonts w:ascii="仿宋" w:hAnsi="仿宋" w:eastAsia="仿宋" w:cs="仿宋"/>
          <w:sz w:val="28"/>
          <w:szCs w:val="28"/>
        </w:rPr>
      </w:pPr>
      <w:r>
        <w:rPr>
          <w:rFonts w:hint="eastAsia" w:ascii="仿宋" w:hAnsi="仿宋" w:eastAsia="仿宋" w:cs="仿宋"/>
          <w:sz w:val="28"/>
          <w:szCs w:val="28"/>
        </w:rPr>
        <w:t>⑦胜—⑧胜 决1-2名。</w:t>
      </w:r>
    </w:p>
    <w:p w14:paraId="6A26970C">
      <w:pPr>
        <w:numPr>
          <w:ilvl w:val="0"/>
          <w:numId w:val="1"/>
        </w:numPr>
        <w:adjustRightInd w:val="0"/>
        <w:snapToGrid w:val="0"/>
        <w:spacing w:line="440" w:lineRule="exact"/>
        <w:ind w:right="-40" w:rightChars="-19" w:firstLine="560" w:firstLineChars="200"/>
        <w:rPr>
          <w:rFonts w:ascii="仿宋" w:hAnsi="仿宋" w:eastAsia="仿宋" w:cs="仿宋"/>
          <w:sz w:val="28"/>
          <w:szCs w:val="28"/>
        </w:rPr>
      </w:pPr>
      <w:r>
        <w:rPr>
          <w:rFonts w:hint="eastAsia" w:ascii="仿宋" w:hAnsi="仿宋" w:eastAsia="仿宋" w:cs="仿宋"/>
          <w:sz w:val="28"/>
          <w:szCs w:val="28"/>
        </w:rPr>
        <w:t>各组第三名及以后的球队不再进行比赛。</w:t>
      </w:r>
    </w:p>
    <w:p w14:paraId="657D914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（五）各组别参赛队数少于2个参赛单位3支队，均不安排比赛。</w:t>
      </w:r>
    </w:p>
    <w:p w14:paraId="1D3C576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（六）单循环比赛名次决定办法</w:t>
      </w:r>
    </w:p>
    <w:p w14:paraId="2EF1936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1.胜一场得2分，负一场得0分，积分多者名次列前。</w:t>
      </w:r>
    </w:p>
    <w:p w14:paraId="04B0F53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2.两队或两队以上积分相等，按如下办法计算名次：</w:t>
      </w:r>
    </w:p>
    <w:p w14:paraId="13BB2EA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（1）有关队相互间比赛积分多者名次列前。</w:t>
      </w:r>
    </w:p>
    <w:p w14:paraId="0EFA361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（2）有关队相互间比赛净胜球多者名次列前。</w:t>
      </w:r>
    </w:p>
    <w:p w14:paraId="2FFA777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（3）有关队相互间比赛进球数多者名次列前。</w:t>
      </w:r>
    </w:p>
    <w:p w14:paraId="36C4BE0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（4）全部比赛净胜球多者名次列前。</w:t>
      </w:r>
    </w:p>
    <w:p w14:paraId="34BC0C0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（5）全部比赛的总进球数多者名次列前。</w:t>
      </w:r>
    </w:p>
    <w:p w14:paraId="2D266CC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（6）如再相等，则采取抽签方式决定排名。</w:t>
      </w:r>
    </w:p>
    <w:p w14:paraId="36287213">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各组别单循环比赛中，所有比赛都必须决出胜负：全场比赛时间结束若为平局则直接进行七（六）米球决胜，A、B组每队各派5名队员进行掷罚七米球决胜；如5轮掷罚后仍为平局，则每队再各派1名队员掷罚，直到决出胜负。C组每队各派3名队员进行掷罚六米球，决定胜负；如3轮结束后如仍为平局，则每队再各派1名队员掷罚，直到决出胜负。</w:t>
      </w:r>
    </w:p>
    <w:p w14:paraId="48AD23E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A、B组决赛阶段比赛结束时如为平局，则在休息5分钟后进行一个决胜期的比赛。决胜期由2个5分钟组成，中间休息1分钟。如一个决胜期比赛结束后仍为平局，则按照上述第3点方法掷罚七米球决胜，直到决出胜负。C组决赛阶段比赛结束时如为平局，则不再进行加时赛，按照上述第3点方法掷罚六米球决胜，直到决出胜负。</w:t>
      </w:r>
    </w:p>
    <w:p w14:paraId="15E242D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（七）特殊规定</w:t>
      </w:r>
    </w:p>
    <w:p w14:paraId="48C8CEB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比赛中被判罚蓝牌（直接红牌加报告）的运动员，将停止下一场比赛资格，并由仲裁委员会等相应机构决定是否对相关运动员和运动队给予追加处罚，如追加处罚决定做出后应立即执行。被判罚蓝牌的运动员不得参加任何奖项的评选。</w:t>
      </w:r>
    </w:p>
    <w:p w14:paraId="35486A4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（八）弃权规定</w:t>
      </w:r>
    </w:p>
    <w:p w14:paraId="3622198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1.参赛队在报名后，因伤、病等特殊原因不能参赛的，赛前应出具二级甲等及以上医院病假单或相关书面证明，经代表队盖章，负责人签字确认后提交竞委会。该场比赛结果按弃权方计0:10告负。</w:t>
      </w:r>
    </w:p>
    <w:p w14:paraId="553B4EC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2.除不可抗力因素外，所有参赛队都应准时到场比赛。凡迟到15分钟（含）以上抵达赛场的参赛队则被判为弃权，该场比赛结果按弃权方计0:10告负。</w:t>
      </w:r>
    </w:p>
    <w:p w14:paraId="34382FE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3.弃权队不得因弃权获得任何利益，并由仲裁委员会决定是否需要执行其它进一步处理措施。</w:t>
      </w:r>
    </w:p>
    <w:p w14:paraId="7305C8F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4.凡无正当理由弃权则取消该队本次比赛所有比赛结果，及该队后续参赛资格，且不计名次。</w:t>
      </w:r>
    </w:p>
    <w:p w14:paraId="6A9345A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（九）比赛时间、球队暂停</w:t>
      </w:r>
    </w:p>
    <w:p w14:paraId="3AF1A3D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1.A、B组上、下半时各20分钟，中间休息5分钟；球队暂停全场3次。</w:t>
      </w:r>
    </w:p>
    <w:p w14:paraId="560E548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2.C组上、下半时各12分钟，中间休息5分钟；球队暂停全场2次，上、下半时各一次。</w:t>
      </w:r>
    </w:p>
    <w:p w14:paraId="7ECCDB1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（十）比赛服装</w:t>
      </w:r>
    </w:p>
    <w:p w14:paraId="13FDCF5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各参赛队应准备至少三套不同颜色的比赛服装，其中包括2套浅色系服装和1套深色系服装（A、B组的守门员服装颜色应和场上队员服装颜色有明显的区别）。上衣前后应有清晰的实心号码并明细区别于服装颜色（胸前的号码至少10厘米高，后背的号码至少20厘米高）。</w:t>
      </w:r>
    </w:p>
    <w:p w14:paraId="2FD9BC0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浅色系颜色：白、浅灰、米黄、浅蓝、黄、粉、浅绿等。（视觉明亮）；深色系颜色：红、酒红、黑、蓝、藏青、橙，深灰、墨绿等（视觉厚重）。</w:t>
      </w:r>
    </w:p>
    <w:p w14:paraId="0B08B35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2.进入替补席的随队官员必须统一着装，穿软底鞋或运动鞋。球队官员服装颜色须与对方场上队员服装颜色有明显区别。</w:t>
      </w:r>
    </w:p>
    <w:p w14:paraId="67D5164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3.按规定正确佩戴球队官员卡。</w:t>
      </w:r>
    </w:p>
    <w:p w14:paraId="74C47D6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（十一）比赛场地</w:t>
      </w:r>
    </w:p>
    <w:p w14:paraId="310CC46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1.A、B组：比赛场地按《手球竞赛规则》执行；</w:t>
      </w:r>
    </w:p>
    <w:p w14:paraId="51D8269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2.C组：场地长为28-36米、宽为15-18米，球门区半径为5米，罚球线为6米。</w:t>
      </w:r>
    </w:p>
    <w:p w14:paraId="6C4D7A5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（十二）比赛用球</w:t>
      </w:r>
    </w:p>
    <w:p w14:paraId="735C709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 A、B组：Molten摩  腾（国际手联指定用球）2号比赛用球；</w:t>
      </w:r>
    </w:p>
    <w:p w14:paraId="3C58483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 C组   ：Molten摩  腾（国际手联指定用球）0号比赛用球。</w:t>
      </w:r>
    </w:p>
    <w:p w14:paraId="21D74D7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（十三） 球门</w:t>
      </w:r>
    </w:p>
    <w:p w14:paraId="5BC3556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1.A、B组：球门内径高 2米、宽3米。</w:t>
      </w:r>
    </w:p>
    <w:p w14:paraId="6FB0FAD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2.C组   ：球门内径高1.8米、宽2.6米。</w:t>
      </w:r>
    </w:p>
    <w:p w14:paraId="73948F9A">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2556047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（一）各组别录取前八名，不足8队参赛的，则按实际参赛队数录取名次。</w:t>
      </w:r>
    </w:p>
    <w:p w14:paraId="6FF5933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有8队以上（含8队）参赛的，前三名依次按4金、2金、1金计牌，前八名依次按44、36、32、28、24、20、16、12计分；有3至7队参赛的，前三名依次按3金、1金、0.5金计牌，前七名依次按33、27、24、21、18、15、12计分。</w:t>
      </w:r>
    </w:p>
    <w:p w14:paraId="3B1D338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6A4E321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54E4356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（一）仲裁与申诉</w:t>
      </w:r>
    </w:p>
    <w:p w14:paraId="624CE30E">
      <w:pPr>
        <w:adjustRightInd w:val="0"/>
        <w:snapToGrid w:val="0"/>
        <w:spacing w:line="5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仲裁委员会成员由上海市手球协会选派。如运动队提出申诉，需在赛后两小时内由该队领队向仲裁委员会递交书面申诉材料，处理意见将书面通知申诉方。</w:t>
      </w:r>
    </w:p>
    <w:p w14:paraId="042F355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（二）竞赛纪律与责任追究 </w:t>
      </w:r>
    </w:p>
    <w:p w14:paraId="33871BD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4C30030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2.对比赛中出现的极端非体育道德行为如临场技术官员及裁判员未做判罚，经仲裁委员会确认可按有关规定赛后给予追加处罚。</w:t>
      </w:r>
    </w:p>
    <w:p w14:paraId="79D4B3BA">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3.球队有责任协助管理好本队队员的亲属，避免出现扰乱正常比赛秩序的现象。</w:t>
      </w:r>
    </w:p>
    <w:p w14:paraId="6FFFE6EB">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474ACB6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1B6AA010">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十四、运动员技术等级授予</w:t>
      </w:r>
    </w:p>
    <w:p w14:paraId="648B57A2">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本次比赛为2026年国家体育总局公布的可授予运动员技术等级称号赛事，本次比赛A组为可授予运动员技术等级的组别，具体标准按国家体育总局最新发布的《手球运动员技术等级标准》执行。</w:t>
      </w:r>
    </w:p>
    <w:p w14:paraId="1D1A4803">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344AD8B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（一）如本规程内容与本届运动会竞赛规程总则或上海市体育局相关规定发生冲突，则以本届运动会总则或上海市体育局规定为准。</w:t>
      </w:r>
    </w:p>
    <w:p w14:paraId="3667A0FE">
      <w:pPr>
        <w:adjustRightInd w:val="0"/>
        <w:snapToGrid w:val="0"/>
        <w:spacing w:line="540" w:lineRule="exact"/>
        <w:ind w:firstLine="560" w:firstLineChars="200"/>
        <w:rPr>
          <w:rFonts w:ascii="仿宋" w:hAnsi="仿宋" w:eastAsia="仿宋" w:cs="仿宋"/>
          <w:sz w:val="28"/>
          <w:szCs w:val="28"/>
        </w:rPr>
      </w:pPr>
      <w:bookmarkStart w:id="1" w:name="_Hlk162361054"/>
      <w:r>
        <w:rPr>
          <w:rFonts w:hint="eastAsia" w:ascii="仿宋" w:hAnsi="仿宋" w:eastAsia="仿宋" w:cs="仿宋"/>
          <w:sz w:val="28"/>
          <w:szCs w:val="28"/>
        </w:rPr>
        <w:t>（二）参赛单位运动员、教练员应知晓体育竞赛的相关风险，确保自己身体状况符合参赛要求，自行承担非承办单位故意或重大过失导致的伤害。</w:t>
      </w:r>
      <w:bookmarkEnd w:id="1"/>
    </w:p>
    <w:p w14:paraId="40980DE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（三）未尽事宜，另行通知。</w:t>
      </w:r>
    </w:p>
    <w:p w14:paraId="245B659D">
      <w:pPr>
        <w:spacing w:line="540" w:lineRule="exact"/>
      </w:pPr>
    </w:p>
    <w:p w14:paraId="23DF7675">
      <w:pPr>
        <w:spacing w:line="540" w:lineRule="exact"/>
      </w:pPr>
    </w:p>
    <w:sectPr>
      <w:footerReference r:id="rId3" w:type="default"/>
      <w:footnotePr>
        <w:numRestart w:val="eachPage"/>
      </w:footnotePr>
      <w:type w:val="continuous"/>
      <w:pgSz w:w="11906" w:h="16838"/>
      <w:pgMar w:top="1440" w:right="1587" w:bottom="1440"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FFB2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5ECAAF"/>
    <w:multiLevelType w:val="singleLevel"/>
    <w:tmpl w:val="C45ECAAF"/>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78A"/>
    <w:rsid w:val="0012267D"/>
    <w:rsid w:val="002064E9"/>
    <w:rsid w:val="002A225D"/>
    <w:rsid w:val="002A61AF"/>
    <w:rsid w:val="0038156C"/>
    <w:rsid w:val="003E3ED2"/>
    <w:rsid w:val="00431B88"/>
    <w:rsid w:val="0044278A"/>
    <w:rsid w:val="004E07DD"/>
    <w:rsid w:val="004E28F5"/>
    <w:rsid w:val="005F2FA9"/>
    <w:rsid w:val="00607D0B"/>
    <w:rsid w:val="00612E49"/>
    <w:rsid w:val="007730A9"/>
    <w:rsid w:val="009C20AA"/>
    <w:rsid w:val="00A73759"/>
    <w:rsid w:val="00B01952"/>
    <w:rsid w:val="00B76B3A"/>
    <w:rsid w:val="00D37718"/>
    <w:rsid w:val="00D913CF"/>
    <w:rsid w:val="00F16E78"/>
    <w:rsid w:val="00F52FCA"/>
    <w:rsid w:val="00F93AA1"/>
    <w:rsid w:val="00FB21F7"/>
    <w:rsid w:val="00FB48F2"/>
    <w:rsid w:val="028642E4"/>
    <w:rsid w:val="03305FF4"/>
    <w:rsid w:val="03A35501"/>
    <w:rsid w:val="05A27898"/>
    <w:rsid w:val="078415B5"/>
    <w:rsid w:val="080C3713"/>
    <w:rsid w:val="094D3053"/>
    <w:rsid w:val="09B80144"/>
    <w:rsid w:val="0A382EC8"/>
    <w:rsid w:val="0A3E6DB8"/>
    <w:rsid w:val="11D5049D"/>
    <w:rsid w:val="122D52DF"/>
    <w:rsid w:val="14B532F1"/>
    <w:rsid w:val="15DF7B3C"/>
    <w:rsid w:val="161559E6"/>
    <w:rsid w:val="16915345"/>
    <w:rsid w:val="17D64F6F"/>
    <w:rsid w:val="1B071D8C"/>
    <w:rsid w:val="1E982151"/>
    <w:rsid w:val="209A77D3"/>
    <w:rsid w:val="252D3708"/>
    <w:rsid w:val="281403B3"/>
    <w:rsid w:val="28B74948"/>
    <w:rsid w:val="2A283434"/>
    <w:rsid w:val="2AC97C2B"/>
    <w:rsid w:val="2BD96984"/>
    <w:rsid w:val="2DA717B3"/>
    <w:rsid w:val="2DCA5CBA"/>
    <w:rsid w:val="30211277"/>
    <w:rsid w:val="316C0D3E"/>
    <w:rsid w:val="339B5E39"/>
    <w:rsid w:val="346610F0"/>
    <w:rsid w:val="34892317"/>
    <w:rsid w:val="35234AC0"/>
    <w:rsid w:val="353E4427"/>
    <w:rsid w:val="397236A3"/>
    <w:rsid w:val="399530D6"/>
    <w:rsid w:val="39C12F31"/>
    <w:rsid w:val="39D91207"/>
    <w:rsid w:val="3E9E1A93"/>
    <w:rsid w:val="401E0B85"/>
    <w:rsid w:val="410127AD"/>
    <w:rsid w:val="41344930"/>
    <w:rsid w:val="4148771D"/>
    <w:rsid w:val="425F778B"/>
    <w:rsid w:val="42970899"/>
    <w:rsid w:val="46C40D53"/>
    <w:rsid w:val="47D2108D"/>
    <w:rsid w:val="47D21B19"/>
    <w:rsid w:val="49942207"/>
    <w:rsid w:val="4A9F106C"/>
    <w:rsid w:val="4C3677AE"/>
    <w:rsid w:val="4CEF7C72"/>
    <w:rsid w:val="4DC95D31"/>
    <w:rsid w:val="4DD52DC8"/>
    <w:rsid w:val="4F1C01CC"/>
    <w:rsid w:val="4F2259B1"/>
    <w:rsid w:val="513444D8"/>
    <w:rsid w:val="556E2F3D"/>
    <w:rsid w:val="557421EC"/>
    <w:rsid w:val="573A7816"/>
    <w:rsid w:val="574B7F75"/>
    <w:rsid w:val="595A7A4A"/>
    <w:rsid w:val="5AC21DCD"/>
    <w:rsid w:val="5D1E5492"/>
    <w:rsid w:val="5D4118A9"/>
    <w:rsid w:val="5D8472F1"/>
    <w:rsid w:val="5E644A30"/>
    <w:rsid w:val="61444A27"/>
    <w:rsid w:val="62235E9E"/>
    <w:rsid w:val="622E411A"/>
    <w:rsid w:val="62B64D4D"/>
    <w:rsid w:val="63D4210C"/>
    <w:rsid w:val="64E262CE"/>
    <w:rsid w:val="663E5786"/>
    <w:rsid w:val="677B0314"/>
    <w:rsid w:val="67C41CBB"/>
    <w:rsid w:val="68C6580E"/>
    <w:rsid w:val="69AE4EDC"/>
    <w:rsid w:val="69D24113"/>
    <w:rsid w:val="6AE71EEF"/>
    <w:rsid w:val="6B3844C9"/>
    <w:rsid w:val="6BB12F3E"/>
    <w:rsid w:val="6C313697"/>
    <w:rsid w:val="6FCE3E86"/>
    <w:rsid w:val="70E138DD"/>
    <w:rsid w:val="71E02DC1"/>
    <w:rsid w:val="7B4252EA"/>
    <w:rsid w:val="7BFD27E5"/>
    <w:rsid w:val="7C1F25F2"/>
    <w:rsid w:val="7D9A4E1A"/>
    <w:rsid w:val="7E914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0"/>
    <w:qFormat/>
    <w:uiPriority w:val="99"/>
    <w:pPr>
      <w:jc w:val="left"/>
    </w:pPr>
  </w:style>
  <w:style w:type="paragraph" w:styleId="4">
    <w:name w:val="endnote text"/>
    <w:basedOn w:val="1"/>
    <w:link w:val="23"/>
    <w:qFormat/>
    <w:uiPriority w:val="99"/>
    <w:pPr>
      <w:snapToGrid w:val="0"/>
      <w:jc w:val="left"/>
    </w:pPr>
  </w:style>
  <w:style w:type="paragraph" w:styleId="5">
    <w:name w:val="Balloon Text"/>
    <w:basedOn w:val="1"/>
    <w:link w:val="19"/>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2"/>
    <w:qFormat/>
    <w:uiPriority w:val="99"/>
    <w:pPr>
      <w:snapToGrid w:val="0"/>
      <w:jc w:val="left"/>
    </w:pPr>
    <w:rPr>
      <w:sz w:val="18"/>
      <w:szCs w:val="18"/>
    </w:rPr>
  </w:style>
  <w:style w:type="paragraph" w:styleId="9">
    <w:name w:val="annotation subject"/>
    <w:basedOn w:val="3"/>
    <w:next w:val="3"/>
    <w:link w:val="21"/>
    <w:qFormat/>
    <w:uiPriority w:val="99"/>
    <w:rPr>
      <w:b/>
      <w:bCs/>
    </w:rPr>
  </w:style>
  <w:style w:type="character" w:styleId="12">
    <w:name w:val="endnote reference"/>
    <w:basedOn w:val="11"/>
    <w:qFormat/>
    <w:uiPriority w:val="99"/>
    <w:rPr>
      <w:vertAlign w:val="superscript"/>
    </w:rPr>
  </w:style>
  <w:style w:type="character" w:styleId="13">
    <w:name w:val="Hyperlink"/>
    <w:basedOn w:val="11"/>
    <w:qFormat/>
    <w:uiPriority w:val="99"/>
    <w:rPr>
      <w:color w:val="0000FF"/>
      <w:u w:val="single"/>
    </w:rPr>
  </w:style>
  <w:style w:type="character" w:styleId="14">
    <w:name w:val="annotation reference"/>
    <w:basedOn w:val="11"/>
    <w:qFormat/>
    <w:uiPriority w:val="99"/>
    <w:rPr>
      <w:sz w:val="21"/>
      <w:szCs w:val="21"/>
    </w:rPr>
  </w:style>
  <w:style w:type="character" w:styleId="15">
    <w:name w:val="footnote reference"/>
    <w:basedOn w:val="11"/>
    <w:qFormat/>
    <w:uiPriority w:val="99"/>
    <w:rPr>
      <w:vertAlign w:val="superscript"/>
    </w:rPr>
  </w:style>
  <w:style w:type="character" w:customStyle="1" w:styleId="16">
    <w:name w:val="页眉 字符"/>
    <w:basedOn w:val="11"/>
    <w:link w:val="7"/>
    <w:qFormat/>
    <w:uiPriority w:val="99"/>
    <w:rPr>
      <w:rFonts w:ascii="Calibri" w:hAnsi="Calibri" w:eastAsia="宋体" w:cs="Times New Roman"/>
      <w:sz w:val="18"/>
      <w:szCs w:val="18"/>
    </w:rPr>
  </w:style>
  <w:style w:type="character" w:customStyle="1" w:styleId="17">
    <w:name w:val="页脚 字符"/>
    <w:basedOn w:val="11"/>
    <w:link w:val="6"/>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批注框文本 字符"/>
    <w:basedOn w:val="11"/>
    <w:link w:val="5"/>
    <w:qFormat/>
    <w:uiPriority w:val="99"/>
    <w:rPr>
      <w:rFonts w:ascii="Calibri" w:hAnsi="Calibri" w:eastAsia="宋体" w:cs="Times New Roman"/>
      <w:kern w:val="2"/>
      <w:sz w:val="18"/>
      <w:szCs w:val="18"/>
    </w:rPr>
  </w:style>
  <w:style w:type="character" w:customStyle="1" w:styleId="20">
    <w:name w:val="批注文字 字符"/>
    <w:basedOn w:val="11"/>
    <w:link w:val="3"/>
    <w:qFormat/>
    <w:uiPriority w:val="99"/>
    <w:rPr>
      <w:rFonts w:ascii="Calibri" w:hAnsi="Calibri" w:eastAsia="宋体" w:cs="Times New Roman"/>
      <w:kern w:val="2"/>
      <w:sz w:val="21"/>
      <w:szCs w:val="24"/>
    </w:rPr>
  </w:style>
  <w:style w:type="character" w:customStyle="1" w:styleId="21">
    <w:name w:val="批注主题 字符"/>
    <w:basedOn w:val="20"/>
    <w:link w:val="9"/>
    <w:qFormat/>
    <w:uiPriority w:val="0"/>
    <w:rPr>
      <w:rFonts w:ascii="Calibri" w:hAnsi="Calibri" w:eastAsia="宋体" w:cs="Times New Roman"/>
      <w:kern w:val="2"/>
      <w:sz w:val="21"/>
      <w:szCs w:val="24"/>
    </w:rPr>
  </w:style>
  <w:style w:type="character" w:customStyle="1" w:styleId="22">
    <w:name w:val="脚注文本 字符"/>
    <w:basedOn w:val="11"/>
    <w:link w:val="8"/>
    <w:qFormat/>
    <w:uiPriority w:val="99"/>
    <w:rPr>
      <w:rFonts w:ascii="Calibri" w:hAnsi="Calibri" w:eastAsia="宋体" w:cs="Times New Roman"/>
      <w:kern w:val="2"/>
      <w:sz w:val="18"/>
      <w:szCs w:val="18"/>
    </w:rPr>
  </w:style>
  <w:style w:type="character" w:customStyle="1" w:styleId="23">
    <w:name w:val="尾注文本 字符"/>
    <w:basedOn w:val="11"/>
    <w:link w:val="4"/>
    <w:qFormat/>
    <w:uiPriority w:val="99"/>
    <w:rPr>
      <w:rFonts w:ascii="Calibri" w:hAnsi="Calibri" w:eastAsia="宋体" w:cs="Times New Roman"/>
      <w:kern w:val="2"/>
      <w:sz w:val="21"/>
      <w:szCs w:val="24"/>
    </w:rPr>
  </w:style>
  <w:style w:type="paragraph" w:customStyle="1" w:styleId="24">
    <w:name w:val="Table Text"/>
    <w:basedOn w:val="1"/>
    <w:semiHidden/>
    <w:qFormat/>
    <w:uiPriority w:val="0"/>
  </w:style>
  <w:style w:type="paragraph" w:customStyle="1" w:styleId="25">
    <w:name w:val="修订1"/>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2.xml><?xml version="1.0" encoding="utf-8"?>
<contractReview xmlns="http://schemas.wps.cn/vas-ai-hub/contract-review">
  <reviewItems>
    <reviewItem>
      <errorID>7289559d-0dfe-4740-8ca2-31de020ac6ee</errorID>
      <errorWord>(</errorWord>
      <group>L1_Format</group>
      <groupName>格式问题</groupName>
      <ability>L2_HalfPunc</ability>
      <abilityName>全半角检查</abilityName>
      <candidateList>
        <item>（</item>
      </candidateList>
      <explain>文本全半角错误。</explain>
      <paraID>2D1CFD2D</paraID>
      <start>6</start>
      <end>7</end>
      <status>unmodified</status>
      <modifiedWord/>
      <trackRevisions>false</trackRevisions>
    </reviewItem>
    <reviewItem>
      <errorID>7564726c-8a88-46fd-af50-caf8070306a5</errorID>
      <errorWord>)</errorWord>
      <group>L1_Format</group>
      <groupName>格式问题</groupName>
      <ability>L2_HalfPunc</ability>
      <abilityName>全半角检查</abilityName>
      <candidateList>
        <item>）</item>
      </candidateList>
      <explain>文本全半角错误。</explain>
      <paraID>2D1CFD2D</paraID>
      <start>11</start>
      <end>12</end>
      <status>unmodified</status>
      <modifiedWord/>
      <trackRevisions>false</trackRevisions>
    </reviewItem>
    <reviewItem>
      <errorID>a93905b0-75f3-44e3-9dab-fcb593d0a656</errorID>
      <errorWord>(</errorWord>
      <group>L1_Format</group>
      <groupName>格式问题</groupName>
      <ability>L2_HalfPunc</ability>
      <abilityName>全半角检查</abilityName>
      <candidateList>
        <item>（</item>
      </candidateList>
      <explain>文本全半角错误。</explain>
      <paraID> D779A79</paraID>
      <start>16</start>
      <end>17</end>
      <status>unmodified</status>
      <modifiedWord/>
      <trackRevisions>false</trackRevisions>
    </reviewItem>
    <reviewItem>
      <errorID>9190d1fa-682b-41e9-8948-12d0c2d6750b</errorID>
      <errorWord>)</errorWord>
      <group>L1_Format</group>
      <groupName>格式问题</groupName>
      <ability>L2_HalfPunc</ability>
      <abilityName>全半角检查</abilityName>
      <candidateList>
        <item>）</item>
      </candidateList>
      <explain>文本全半角错误。</explain>
      <paraID> D779A79</paraID>
      <start>22</start>
      <end>23</end>
      <status>unmodified</status>
      <modifiedWord/>
      <trackRevisions>false</trackRevisions>
    </reviewItem>
    <reviewItem>
      <errorID>99ddfa85-af39-4d0f-9b1e-7cf9f385a50e</errorID>
      <errorWord>)</errorWord>
      <group>L1_Format</group>
      <groupName>格式问题</groupName>
      <ability>L2_HalfPunc</ability>
      <abilityName>全半角检查</abilityName>
      <candidateList>
        <item>）</item>
      </candidateList>
      <explain>文本全半角错误。</explain>
      <paraID>6ECD71AF</paraID>
      <start>6</start>
      <end>7</end>
      <status>unmodified</status>
      <modifiedWord/>
      <trackRevisions>false</trackRevisions>
    </reviewItem>
  </reviewItems>
  <config/>
</contractReview>
</file>

<file path=customXml/itemProps1.xml><?xml version="1.0" encoding="utf-8"?>
<ds:datastoreItem xmlns:ds="http://schemas.openxmlformats.org/officeDocument/2006/customXml" ds:itemID="{625654C5-9F47-415F-B547-D9502E78804C}">
  <ds:schemaRefs/>
</ds:datastoreItem>
</file>

<file path=customXml/itemProps2.xml><?xml version="1.0" encoding="utf-8"?>
<ds:datastoreItem xmlns:ds="http://schemas.openxmlformats.org/officeDocument/2006/customXml" ds:itemID="{33F61D48-2B8E-4958-8BFA-8A2501A1CF9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565</Words>
  <Characters>631</Characters>
  <Lines>37</Lines>
  <Paragraphs>10</Paragraphs>
  <TotalTime>1358</TotalTime>
  <ScaleCrop>false</ScaleCrop>
  <LinksUpToDate>false</LinksUpToDate>
  <CharactersWithSpaces>640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2025-12-28T06:00:00Z</dcterms:created>
  <dc:creator>微软中国</dc:creator>
  <cp:lastModifiedBy>Xiangyou</cp:lastModifiedBy>
  <cp:lastPrinted>2025-12-17T07:37:00Z</cp:lastPrinted>
  <dcterms:modified xsi:type="dcterms:W3CDTF">2026-05-07T07:57:07Z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C1D91B66EA9E42F3B464BEA1FBB9BC14_13</vt:lpwstr>
  </property>
  <property fmtid="{D5CDD505-2E9C-101B-9397-08002B2CF9AE}" pid="4" name="KSOTemplateDocerSaveRecord">
    <vt:lpwstr>eyJoZGlkIjoiNjA2NmNjZDM3NzUzZGJhY2I3OTc1NzBkNDI5NDdhNTkiLCJ1c2VySWQiOiIxNDQ2MzUxODYzIn0=</vt:lpwstr>
  </property>
</Properties>
</file>