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AC7104">
      <w:pPr>
        <w:adjustRightInd w:val="0"/>
        <w:snapToGrid w:val="0"/>
        <w:spacing w:line="540" w:lineRule="exact"/>
        <w:jc w:val="center"/>
        <w:rPr>
          <w:rFonts w:ascii="宋体" w:hAnsi="宋体" w:cs="宋体"/>
          <w:b/>
          <w:bCs/>
          <w:sz w:val="36"/>
          <w:szCs w:val="36"/>
        </w:rPr>
      </w:pPr>
      <w:r>
        <w:rPr>
          <w:rFonts w:hint="eastAsia" w:ascii="宋体" w:hAnsi="宋体" w:cs="宋体"/>
          <w:b/>
          <w:bCs/>
          <w:sz w:val="36"/>
          <w:szCs w:val="36"/>
        </w:rPr>
        <w:t>上海市第十八届运动会曲棍球比赛（青少年组）</w:t>
      </w:r>
    </w:p>
    <w:p w14:paraId="2F704A7D">
      <w:pPr>
        <w:snapToGrid w:val="0"/>
        <w:spacing w:line="540" w:lineRule="exact"/>
        <w:jc w:val="center"/>
        <w:rPr>
          <w:rFonts w:ascii="宋体" w:hAnsi="宋体" w:cs="宋体"/>
          <w:b/>
          <w:bCs/>
          <w:sz w:val="36"/>
          <w:szCs w:val="36"/>
        </w:rPr>
      </w:pPr>
      <w:r>
        <w:rPr>
          <w:rFonts w:hint="eastAsia" w:ascii="宋体" w:hAnsi="宋体" w:cs="宋体"/>
          <w:b/>
          <w:bCs/>
          <w:sz w:val="36"/>
          <w:szCs w:val="36"/>
        </w:rPr>
        <w:t>竞赛规程</w:t>
      </w:r>
    </w:p>
    <w:p w14:paraId="71A5B9FE">
      <w:pPr>
        <w:adjustRightInd w:val="0"/>
        <w:snapToGrid w:val="0"/>
        <w:spacing w:line="540" w:lineRule="exact"/>
        <w:ind w:firstLine="562" w:firstLineChars="200"/>
        <w:rPr>
          <w:rFonts w:ascii="仿宋" w:hAnsi="仿宋" w:eastAsia="仿宋" w:cs="仿宋"/>
          <w:b/>
          <w:sz w:val="28"/>
          <w:szCs w:val="28"/>
        </w:rPr>
      </w:pPr>
    </w:p>
    <w:p w14:paraId="05A2DD88">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一、主办单位：</w:t>
      </w:r>
      <w:r>
        <w:rPr>
          <w:rFonts w:hint="eastAsia" w:ascii="仿宋" w:hAnsi="仿宋" w:eastAsia="仿宋" w:cs="仿宋"/>
          <w:sz w:val="28"/>
          <w:szCs w:val="28"/>
        </w:rPr>
        <w:t>上海市体育局、上海市教育委员会</w:t>
      </w:r>
    </w:p>
    <w:p w14:paraId="1D0AEE40">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二、承办单位：</w:t>
      </w:r>
      <w:r>
        <w:rPr>
          <w:rFonts w:hint="eastAsia" w:ascii="仿宋" w:hAnsi="仿宋" w:eastAsia="仿宋" w:cs="仿宋"/>
          <w:bCs/>
          <w:sz w:val="28"/>
          <w:szCs w:val="28"/>
        </w:rPr>
        <w:t>上海市闵行区体育局</w:t>
      </w:r>
    </w:p>
    <w:p w14:paraId="2AB94267">
      <w:p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上海市竞技体育训练管理中心</w:t>
      </w:r>
    </w:p>
    <w:p w14:paraId="6EA97CC3">
      <w:p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手曲棒垒球运动中心</w:t>
      </w:r>
    </w:p>
    <w:p w14:paraId="01365969">
      <w:p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bCs/>
          <w:sz w:val="28"/>
          <w:szCs w:val="28"/>
        </w:rPr>
        <w:t>上海京柔体育文化发展有限公司</w:t>
      </w:r>
    </w:p>
    <w:p w14:paraId="7A089742">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三、协办单位：</w:t>
      </w:r>
      <w:r>
        <w:rPr>
          <w:rFonts w:hint="eastAsia" w:ascii="仿宋" w:hAnsi="仿宋" w:eastAsia="仿宋" w:cs="仿宋"/>
          <w:sz w:val="28"/>
          <w:szCs w:val="28"/>
        </w:rPr>
        <w:t>场馆、少体校、俱乐部、公司等</w:t>
      </w:r>
    </w:p>
    <w:p w14:paraId="578594B8">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四、竞赛日期：</w:t>
      </w:r>
      <w:r>
        <w:rPr>
          <w:rFonts w:hint="eastAsia" w:ascii="仿宋" w:hAnsi="仿宋" w:eastAsia="仿宋" w:cs="仿宋"/>
          <w:sz w:val="28"/>
          <w:szCs w:val="28"/>
        </w:rPr>
        <w:t>2026年10月</w:t>
      </w:r>
    </w:p>
    <w:p w14:paraId="1849E7EA">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五、竞赛地点：</w:t>
      </w:r>
      <w:r>
        <w:rPr>
          <w:rFonts w:hint="eastAsia" w:ascii="仿宋" w:hAnsi="仿宋" w:eastAsia="仿宋" w:cs="仿宋"/>
          <w:sz w:val="28"/>
          <w:szCs w:val="28"/>
        </w:rPr>
        <w:t>闵行区体育场(上海市闵行区莘东路540号)</w:t>
      </w:r>
    </w:p>
    <w:p w14:paraId="430E0840">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bCs/>
          <w:sz w:val="28"/>
          <w:szCs w:val="28"/>
        </w:rPr>
        <w:t>六、参赛单位</w:t>
      </w:r>
      <w:r>
        <w:rPr>
          <w:rFonts w:hint="eastAsia" w:ascii="仿宋" w:hAnsi="仿宋" w:eastAsia="仿宋" w:cs="仿宋"/>
          <w:sz w:val="28"/>
          <w:szCs w:val="28"/>
        </w:rPr>
        <w:t>：本市各区</w:t>
      </w:r>
    </w:p>
    <w:p w14:paraId="2082C448">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七、年龄组别和小项设置</w:t>
      </w:r>
    </w:p>
    <w:tbl>
      <w:tblPr>
        <w:tblStyle w:val="7"/>
        <w:tblW w:w="7341"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145"/>
        <w:gridCol w:w="2256"/>
        <w:gridCol w:w="1111"/>
        <w:gridCol w:w="2829"/>
      </w:tblGrid>
      <w:tr w14:paraId="1EAB90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2" w:hRule="atLeast"/>
          <w:jc w:val="center"/>
        </w:trPr>
        <w:tc>
          <w:tcPr>
            <w:tcW w:w="1145" w:type="dxa"/>
            <w:tcBorders>
              <w:top w:val="single" w:color="000000" w:sz="6" w:space="0"/>
              <w:left w:val="single" w:color="000000" w:sz="6" w:space="0"/>
              <w:bottom w:val="nil"/>
              <w:right w:val="single" w:color="000000" w:sz="6" w:space="0"/>
            </w:tcBorders>
            <w:vAlign w:val="center"/>
          </w:tcPr>
          <w:p w14:paraId="593AA0A1">
            <w:pPr>
              <w:ind w:left="9"/>
              <w:jc w:val="center"/>
              <w:rPr>
                <w:rFonts w:ascii="仿宋" w:hAnsi="仿宋" w:eastAsia="仿宋" w:cs="仿宋"/>
                <w:szCs w:val="21"/>
              </w:rPr>
            </w:pPr>
            <w:r>
              <w:rPr>
                <w:rFonts w:hint="eastAsia" w:ascii="仿宋" w:hAnsi="仿宋" w:eastAsia="仿宋" w:cs="仿宋"/>
                <w:b/>
                <w:bCs/>
                <w:szCs w:val="21"/>
              </w:rPr>
              <w:t>组别</w:t>
            </w:r>
          </w:p>
        </w:tc>
        <w:tc>
          <w:tcPr>
            <w:tcW w:w="2256" w:type="dxa"/>
            <w:tcBorders>
              <w:top w:val="single" w:color="000000" w:sz="6" w:space="0"/>
              <w:left w:val="single" w:color="000000" w:sz="6" w:space="0"/>
              <w:bottom w:val="nil"/>
              <w:right w:val="single" w:color="000000" w:sz="6" w:space="0"/>
            </w:tcBorders>
            <w:vAlign w:val="center"/>
          </w:tcPr>
          <w:p w14:paraId="6F3DD9E1">
            <w:pPr>
              <w:ind w:left="23"/>
              <w:jc w:val="center"/>
              <w:rPr>
                <w:rFonts w:ascii="仿宋" w:hAnsi="仿宋" w:eastAsia="仿宋" w:cs="仿宋"/>
                <w:szCs w:val="21"/>
              </w:rPr>
            </w:pPr>
            <w:r>
              <w:rPr>
                <w:rFonts w:hint="eastAsia" w:ascii="仿宋" w:hAnsi="仿宋" w:eastAsia="仿宋" w:cs="仿宋"/>
                <w:b/>
                <w:bCs/>
                <w:szCs w:val="21"/>
              </w:rPr>
              <w:t>年龄段</w:t>
            </w:r>
          </w:p>
        </w:tc>
        <w:tc>
          <w:tcPr>
            <w:tcW w:w="1111" w:type="dxa"/>
            <w:tcBorders>
              <w:top w:val="single" w:color="000000" w:sz="6" w:space="0"/>
              <w:left w:val="single" w:color="000000" w:sz="6" w:space="0"/>
              <w:bottom w:val="nil"/>
              <w:right w:val="single" w:color="000000" w:sz="6" w:space="0"/>
            </w:tcBorders>
            <w:vAlign w:val="center"/>
          </w:tcPr>
          <w:p w14:paraId="7D3B81EA">
            <w:pPr>
              <w:ind w:left="49"/>
              <w:jc w:val="center"/>
              <w:rPr>
                <w:rFonts w:ascii="仿宋" w:hAnsi="仿宋" w:eastAsia="仿宋" w:cs="仿宋"/>
                <w:szCs w:val="21"/>
              </w:rPr>
            </w:pPr>
            <w:r>
              <w:rPr>
                <w:rFonts w:hint="eastAsia" w:ascii="仿宋" w:hAnsi="仿宋" w:eastAsia="仿宋" w:cs="仿宋"/>
                <w:b/>
                <w:bCs/>
                <w:szCs w:val="21"/>
              </w:rPr>
              <w:t>设项数</w:t>
            </w:r>
          </w:p>
        </w:tc>
        <w:tc>
          <w:tcPr>
            <w:tcW w:w="2829" w:type="dxa"/>
            <w:tcBorders>
              <w:top w:val="single" w:color="000000" w:sz="6" w:space="0"/>
              <w:left w:val="single" w:color="000000" w:sz="6" w:space="0"/>
              <w:bottom w:val="single" w:color="000000" w:sz="6" w:space="0"/>
              <w:right w:val="single" w:color="000000" w:sz="6" w:space="0"/>
            </w:tcBorders>
            <w:vAlign w:val="center"/>
          </w:tcPr>
          <w:p w14:paraId="6D24861F">
            <w:pPr>
              <w:ind w:left="9"/>
              <w:jc w:val="center"/>
              <w:rPr>
                <w:rFonts w:ascii="仿宋" w:hAnsi="仿宋" w:eastAsia="仿宋" w:cs="仿宋"/>
                <w:b/>
                <w:bCs/>
                <w:szCs w:val="21"/>
              </w:rPr>
            </w:pPr>
            <w:r>
              <w:rPr>
                <w:rFonts w:hint="eastAsia" w:ascii="仿宋" w:hAnsi="仿宋" w:eastAsia="仿宋" w:cs="仿宋"/>
                <w:b/>
                <w:bCs/>
                <w:szCs w:val="21"/>
              </w:rPr>
              <w:t>女子</w:t>
            </w:r>
          </w:p>
        </w:tc>
      </w:tr>
      <w:tr w14:paraId="001C42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63" w:hRule="atLeast"/>
          <w:jc w:val="center"/>
        </w:trPr>
        <w:tc>
          <w:tcPr>
            <w:tcW w:w="1145" w:type="dxa"/>
            <w:tcBorders>
              <w:top w:val="single" w:color="000000" w:sz="6" w:space="0"/>
              <w:left w:val="single" w:color="000000" w:sz="6" w:space="0"/>
              <w:bottom w:val="nil"/>
              <w:right w:val="single" w:color="000000" w:sz="6" w:space="0"/>
            </w:tcBorders>
            <w:vAlign w:val="center"/>
          </w:tcPr>
          <w:p w14:paraId="57C0D3D8">
            <w:pPr>
              <w:jc w:val="center"/>
              <w:rPr>
                <w:rFonts w:ascii="仿宋" w:hAnsi="仿宋" w:eastAsia="仿宋" w:cs="仿宋"/>
                <w:szCs w:val="21"/>
              </w:rPr>
            </w:pPr>
            <w:r>
              <w:rPr>
                <w:rFonts w:hint="eastAsia" w:ascii="仿宋" w:hAnsi="仿宋" w:eastAsia="仿宋" w:cs="仿宋"/>
                <w:szCs w:val="21"/>
              </w:rPr>
              <w:t>A</w:t>
            </w:r>
          </w:p>
        </w:tc>
        <w:tc>
          <w:tcPr>
            <w:tcW w:w="2256" w:type="dxa"/>
            <w:tcBorders>
              <w:top w:val="single" w:color="000000" w:sz="6" w:space="0"/>
              <w:left w:val="single" w:color="000000" w:sz="6" w:space="0"/>
              <w:bottom w:val="nil"/>
              <w:right w:val="single" w:color="000000" w:sz="6" w:space="0"/>
            </w:tcBorders>
            <w:vAlign w:val="center"/>
          </w:tcPr>
          <w:p w14:paraId="25997202">
            <w:pPr>
              <w:ind w:left="163"/>
              <w:jc w:val="center"/>
              <w:rPr>
                <w:rFonts w:ascii="仿宋" w:hAnsi="仿宋" w:eastAsia="仿宋" w:cs="仿宋"/>
                <w:szCs w:val="21"/>
              </w:rPr>
            </w:pPr>
            <w:r>
              <w:rPr>
                <w:rFonts w:hint="eastAsia" w:ascii="仿宋" w:hAnsi="仿宋" w:eastAsia="仿宋" w:cs="仿宋"/>
                <w:szCs w:val="21"/>
              </w:rPr>
              <w:t>08.9.1-10.12.31</w:t>
            </w:r>
          </w:p>
        </w:tc>
        <w:tc>
          <w:tcPr>
            <w:tcW w:w="1111" w:type="dxa"/>
            <w:tcBorders>
              <w:top w:val="single" w:color="000000" w:sz="6" w:space="0"/>
              <w:left w:val="single" w:color="000000" w:sz="6" w:space="0"/>
              <w:bottom w:val="nil"/>
              <w:right w:val="single" w:color="000000" w:sz="6" w:space="0"/>
            </w:tcBorders>
            <w:vAlign w:val="center"/>
          </w:tcPr>
          <w:p w14:paraId="62154517">
            <w:pPr>
              <w:spacing w:before="59" w:line="183" w:lineRule="auto"/>
              <w:ind w:left="21" w:leftChars="10"/>
              <w:jc w:val="center"/>
              <w:rPr>
                <w:rFonts w:ascii="仿宋" w:hAnsi="仿宋" w:eastAsia="仿宋" w:cs="仿宋"/>
                <w:szCs w:val="21"/>
              </w:rPr>
            </w:pPr>
            <w:r>
              <w:rPr>
                <w:rFonts w:hint="eastAsia" w:ascii="仿宋" w:hAnsi="仿宋" w:eastAsia="仿宋" w:cs="仿宋"/>
                <w:szCs w:val="21"/>
              </w:rPr>
              <w:t>1</w:t>
            </w:r>
          </w:p>
        </w:tc>
        <w:tc>
          <w:tcPr>
            <w:tcW w:w="2829" w:type="dxa"/>
            <w:tcBorders>
              <w:top w:val="single" w:color="000000" w:sz="6" w:space="0"/>
              <w:left w:val="single" w:color="000000" w:sz="6" w:space="0"/>
              <w:bottom w:val="single" w:color="000000" w:sz="6" w:space="0"/>
              <w:right w:val="single" w:color="000000" w:sz="6" w:space="0"/>
            </w:tcBorders>
            <w:vAlign w:val="center"/>
          </w:tcPr>
          <w:p w14:paraId="309F0670">
            <w:pPr>
              <w:ind w:left="73" w:leftChars="35"/>
              <w:jc w:val="center"/>
              <w:rPr>
                <w:rFonts w:ascii="仿宋" w:hAnsi="仿宋" w:eastAsia="仿宋" w:cs="仿宋"/>
                <w:szCs w:val="21"/>
              </w:rPr>
            </w:pPr>
            <w:r>
              <w:rPr>
                <w:rFonts w:hint="eastAsia" w:ascii="仿宋" w:hAnsi="仿宋" w:eastAsia="仿宋" w:cs="仿宋"/>
                <w:szCs w:val="21"/>
              </w:rPr>
              <w:t>曲棍球</w:t>
            </w:r>
          </w:p>
        </w:tc>
      </w:tr>
      <w:tr w14:paraId="364395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6" w:hRule="atLeast"/>
          <w:jc w:val="center"/>
        </w:trPr>
        <w:tc>
          <w:tcPr>
            <w:tcW w:w="1145" w:type="dxa"/>
            <w:tcBorders>
              <w:top w:val="single" w:color="000000" w:sz="6" w:space="0"/>
              <w:left w:val="single" w:color="000000" w:sz="6" w:space="0"/>
              <w:bottom w:val="nil"/>
              <w:right w:val="single" w:color="000000" w:sz="6" w:space="0"/>
            </w:tcBorders>
            <w:vAlign w:val="center"/>
          </w:tcPr>
          <w:p w14:paraId="42BFE3E7">
            <w:pPr>
              <w:jc w:val="center"/>
              <w:rPr>
                <w:rFonts w:ascii="仿宋" w:hAnsi="仿宋" w:eastAsia="仿宋" w:cs="仿宋"/>
                <w:szCs w:val="21"/>
              </w:rPr>
            </w:pPr>
            <w:r>
              <w:rPr>
                <w:rFonts w:hint="eastAsia" w:ascii="仿宋" w:hAnsi="仿宋" w:eastAsia="仿宋" w:cs="仿宋"/>
                <w:szCs w:val="21"/>
              </w:rPr>
              <w:t>B</w:t>
            </w:r>
          </w:p>
        </w:tc>
        <w:tc>
          <w:tcPr>
            <w:tcW w:w="2256" w:type="dxa"/>
            <w:tcBorders>
              <w:top w:val="single" w:color="000000" w:sz="6" w:space="0"/>
              <w:left w:val="single" w:color="000000" w:sz="6" w:space="0"/>
              <w:bottom w:val="nil"/>
              <w:right w:val="single" w:color="000000" w:sz="6" w:space="0"/>
            </w:tcBorders>
            <w:vAlign w:val="center"/>
          </w:tcPr>
          <w:p w14:paraId="101E0E09">
            <w:pPr>
              <w:ind w:left="177"/>
              <w:jc w:val="center"/>
              <w:rPr>
                <w:rFonts w:ascii="仿宋" w:hAnsi="仿宋" w:eastAsia="仿宋" w:cs="仿宋"/>
                <w:szCs w:val="21"/>
              </w:rPr>
            </w:pPr>
            <w:r>
              <w:rPr>
                <w:rFonts w:hint="eastAsia" w:ascii="仿宋" w:hAnsi="仿宋" w:eastAsia="仿宋" w:cs="仿宋"/>
                <w:spacing w:val="-1"/>
                <w:szCs w:val="21"/>
              </w:rPr>
              <w:t>11.1.1-14.12.31</w:t>
            </w:r>
          </w:p>
        </w:tc>
        <w:tc>
          <w:tcPr>
            <w:tcW w:w="1111" w:type="dxa"/>
            <w:tcBorders>
              <w:top w:val="single" w:color="000000" w:sz="6" w:space="0"/>
              <w:left w:val="single" w:color="000000" w:sz="6" w:space="0"/>
              <w:bottom w:val="nil"/>
              <w:right w:val="single" w:color="000000" w:sz="6" w:space="0"/>
            </w:tcBorders>
            <w:vAlign w:val="center"/>
          </w:tcPr>
          <w:p w14:paraId="3A8AC514">
            <w:pPr>
              <w:spacing w:before="59" w:line="183" w:lineRule="auto"/>
              <w:ind w:left="21" w:leftChars="10"/>
              <w:jc w:val="center"/>
              <w:rPr>
                <w:rFonts w:ascii="仿宋" w:hAnsi="仿宋" w:eastAsia="仿宋" w:cs="仿宋"/>
                <w:szCs w:val="21"/>
              </w:rPr>
            </w:pPr>
            <w:r>
              <w:rPr>
                <w:rFonts w:hint="eastAsia" w:ascii="仿宋" w:hAnsi="仿宋" w:eastAsia="仿宋" w:cs="仿宋"/>
                <w:szCs w:val="21"/>
              </w:rPr>
              <w:t>1</w:t>
            </w:r>
          </w:p>
        </w:tc>
        <w:tc>
          <w:tcPr>
            <w:tcW w:w="2829" w:type="dxa"/>
            <w:tcBorders>
              <w:top w:val="single" w:color="000000" w:sz="6" w:space="0"/>
              <w:left w:val="single" w:color="000000" w:sz="6" w:space="0"/>
              <w:bottom w:val="single" w:color="000000" w:sz="6" w:space="0"/>
              <w:right w:val="single" w:color="000000" w:sz="6" w:space="0"/>
            </w:tcBorders>
            <w:vAlign w:val="center"/>
          </w:tcPr>
          <w:p w14:paraId="1AEC1ADC">
            <w:pPr>
              <w:ind w:left="73" w:leftChars="35"/>
              <w:jc w:val="center"/>
              <w:rPr>
                <w:rFonts w:ascii="仿宋" w:hAnsi="仿宋" w:eastAsia="仿宋" w:cs="仿宋"/>
                <w:szCs w:val="21"/>
              </w:rPr>
            </w:pPr>
            <w:r>
              <w:rPr>
                <w:rFonts w:hint="eastAsia" w:ascii="仿宋" w:hAnsi="仿宋" w:eastAsia="仿宋" w:cs="仿宋"/>
                <w:szCs w:val="21"/>
              </w:rPr>
              <w:t>曲棍球</w:t>
            </w:r>
          </w:p>
        </w:tc>
      </w:tr>
      <w:tr w14:paraId="43C4CE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66" w:hRule="atLeast"/>
          <w:jc w:val="center"/>
        </w:trPr>
        <w:tc>
          <w:tcPr>
            <w:tcW w:w="1145" w:type="dxa"/>
            <w:tcBorders>
              <w:top w:val="single" w:color="000000" w:sz="6" w:space="0"/>
              <w:left w:val="single" w:color="000000" w:sz="6" w:space="0"/>
              <w:bottom w:val="single" w:color="000000" w:sz="6" w:space="0"/>
              <w:right w:val="single" w:color="000000" w:sz="6" w:space="0"/>
            </w:tcBorders>
            <w:vAlign w:val="center"/>
          </w:tcPr>
          <w:p w14:paraId="3BDEF6A0">
            <w:pPr>
              <w:ind w:left="29"/>
              <w:jc w:val="center"/>
              <w:rPr>
                <w:rFonts w:ascii="仿宋" w:hAnsi="仿宋" w:eastAsia="仿宋" w:cs="仿宋"/>
                <w:szCs w:val="21"/>
              </w:rPr>
            </w:pPr>
            <w:r>
              <w:rPr>
                <w:rFonts w:hint="eastAsia" w:ascii="仿宋" w:hAnsi="仿宋" w:eastAsia="仿宋" w:cs="仿宋"/>
                <w:szCs w:val="21"/>
              </w:rPr>
              <w:t>C</w:t>
            </w:r>
          </w:p>
        </w:tc>
        <w:tc>
          <w:tcPr>
            <w:tcW w:w="2256" w:type="dxa"/>
            <w:tcBorders>
              <w:top w:val="single" w:color="000000" w:sz="6" w:space="0"/>
              <w:left w:val="single" w:color="000000" w:sz="6" w:space="0"/>
              <w:bottom w:val="single" w:color="000000" w:sz="6" w:space="0"/>
              <w:right w:val="single" w:color="000000" w:sz="6" w:space="0"/>
            </w:tcBorders>
            <w:vAlign w:val="center"/>
          </w:tcPr>
          <w:p w14:paraId="52E4FEF4">
            <w:pPr>
              <w:ind w:left="178"/>
              <w:jc w:val="center"/>
              <w:rPr>
                <w:rFonts w:ascii="仿宋" w:hAnsi="仿宋" w:eastAsia="仿宋" w:cs="仿宋"/>
                <w:szCs w:val="21"/>
              </w:rPr>
            </w:pPr>
            <w:r>
              <w:rPr>
                <w:rFonts w:hint="eastAsia" w:ascii="仿宋" w:hAnsi="仿宋" w:eastAsia="仿宋" w:cs="仿宋"/>
                <w:spacing w:val="-2"/>
                <w:szCs w:val="21"/>
              </w:rPr>
              <w:t>15.1.1-17.12.31</w:t>
            </w:r>
          </w:p>
        </w:tc>
        <w:tc>
          <w:tcPr>
            <w:tcW w:w="1111" w:type="dxa"/>
            <w:tcBorders>
              <w:top w:val="single" w:color="000000" w:sz="6" w:space="0"/>
              <w:left w:val="single" w:color="000000" w:sz="6" w:space="0"/>
              <w:bottom w:val="single" w:color="000000" w:sz="6" w:space="0"/>
              <w:right w:val="single" w:color="000000" w:sz="6" w:space="0"/>
            </w:tcBorders>
            <w:vAlign w:val="center"/>
          </w:tcPr>
          <w:p w14:paraId="1E33E0EB">
            <w:pPr>
              <w:spacing w:before="58" w:line="183" w:lineRule="auto"/>
              <w:ind w:left="21" w:leftChars="10"/>
              <w:jc w:val="center"/>
              <w:rPr>
                <w:rFonts w:ascii="仿宋" w:hAnsi="仿宋" w:eastAsia="仿宋" w:cs="仿宋"/>
                <w:szCs w:val="21"/>
              </w:rPr>
            </w:pPr>
            <w:r>
              <w:rPr>
                <w:rFonts w:hint="eastAsia" w:ascii="仿宋" w:hAnsi="仿宋" w:eastAsia="仿宋" w:cs="仿宋"/>
                <w:szCs w:val="21"/>
              </w:rPr>
              <w:t>1</w:t>
            </w:r>
          </w:p>
        </w:tc>
        <w:tc>
          <w:tcPr>
            <w:tcW w:w="2829" w:type="dxa"/>
            <w:tcBorders>
              <w:top w:val="single" w:color="000000" w:sz="6" w:space="0"/>
              <w:left w:val="single" w:color="000000" w:sz="6" w:space="0"/>
              <w:bottom w:val="single" w:color="000000" w:sz="6" w:space="0"/>
              <w:right w:val="single" w:color="000000" w:sz="6" w:space="0"/>
            </w:tcBorders>
            <w:vAlign w:val="center"/>
          </w:tcPr>
          <w:p w14:paraId="2C9093A7">
            <w:pPr>
              <w:ind w:left="523" w:leftChars="35" w:right="48" w:hanging="450"/>
              <w:jc w:val="center"/>
              <w:rPr>
                <w:rFonts w:ascii="仿宋" w:hAnsi="仿宋" w:eastAsia="仿宋" w:cs="仿宋"/>
                <w:szCs w:val="21"/>
              </w:rPr>
            </w:pPr>
            <w:r>
              <w:rPr>
                <w:rFonts w:hint="eastAsia" w:ascii="仿宋" w:hAnsi="仿宋" w:eastAsia="仿宋" w:cs="仿宋"/>
                <w:szCs w:val="21"/>
              </w:rPr>
              <w:t>曲棍球</w:t>
            </w:r>
          </w:p>
        </w:tc>
      </w:tr>
    </w:tbl>
    <w:p w14:paraId="40E06696">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八、参赛资格</w:t>
      </w:r>
    </w:p>
    <w:p w14:paraId="74CDB217">
      <w:pPr>
        <w:spacing w:line="540" w:lineRule="exact"/>
        <w:ind w:firstLine="560" w:firstLineChars="200"/>
        <w:rPr>
          <w:rFonts w:ascii="仿宋" w:hAnsi="仿宋" w:eastAsia="仿宋" w:cs="仿宋"/>
          <w:color w:val="0000FF"/>
          <w:sz w:val="28"/>
          <w:szCs w:val="28"/>
        </w:rPr>
      </w:pPr>
      <w:r>
        <w:rPr>
          <w:rFonts w:hint="eastAsia" w:ascii="仿宋" w:hAnsi="仿宋" w:eastAsia="仿宋" w:cs="仿宋"/>
          <w:sz w:val="28"/>
          <w:szCs w:val="28"/>
        </w:rPr>
        <w:t>（一）运动员须具有中国国籍（包括港、澳、台）。运动员须经医务部门检查，证明身体健康，适合参赛。</w:t>
      </w:r>
    </w:p>
    <w:p w14:paraId="0DBDC3E3">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（二）每名运动员只能代表一个单位（代表团）参赛；运动员不得跨越组别参赛。</w:t>
      </w:r>
    </w:p>
    <w:p w14:paraId="3FD7132E">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（三）教练员须是2026年在本市有效注册的青训教练员，方可报名参赛。</w:t>
      </w:r>
    </w:p>
    <w:p w14:paraId="33D4D76D">
      <w:pPr>
        <w:spacing w:line="540" w:lineRule="exact"/>
        <w:ind w:firstLine="560" w:firstLineChars="200"/>
        <w:rPr>
          <w:rFonts w:ascii="仿宋" w:hAnsi="仿宋" w:eastAsia="仿宋" w:cs="仿宋"/>
          <w:sz w:val="28"/>
          <w:szCs w:val="28"/>
        </w:rPr>
      </w:pPr>
      <w:bookmarkStart w:id="0" w:name="_Hlk94972236"/>
      <w:r>
        <w:rPr>
          <w:rFonts w:hint="eastAsia" w:ascii="仿宋" w:hAnsi="仿宋" w:eastAsia="仿宋" w:cs="仿宋"/>
          <w:sz w:val="28"/>
          <w:szCs w:val="28"/>
        </w:rPr>
        <w:t>（四）参赛运动员必须是2026年在本市有效注册的青少年运动员，并持本人当年有效的《上海市青少年运动员注册卡》参赛。</w:t>
      </w:r>
      <w:bookmarkEnd w:id="0"/>
    </w:p>
    <w:p w14:paraId="08026D17">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（五）参赛运动员须达到2026年上海市曲棍球二线体能测试赛准入标准分（25分及以上），2014.1.1-2016.12.31出生的守门员须取得10分及以上成绩，方可参赛。（A组和C组2017.1.1-2017.12.31年出生运动员除外）。</w:t>
      </w:r>
    </w:p>
    <w:p w14:paraId="5264BA74">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六）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4E002472">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（七）2026年已在外省市注册或代表外省市在国家体育总局注册的运动员不得参加比赛，经上海市体育局批准同意交流至外省市的运动员除外。</w:t>
      </w:r>
    </w:p>
    <w:p w14:paraId="191C106E">
      <w:p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（八）本市市属青少年高水平运动队在编运动员代表注册单位参赛。</w:t>
      </w:r>
    </w:p>
    <w:p w14:paraId="2344A652">
      <w:p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（九）</w:t>
      </w:r>
      <w:r>
        <w:rPr>
          <w:rFonts w:hint="eastAsia" w:ascii="仿宋" w:hAnsi="仿宋" w:eastAsia="仿宋" w:cs="仿宋"/>
          <w:sz w:val="28"/>
          <w:szCs w:val="28"/>
        </w:rPr>
        <w:t>经市教委、市体育局共同认定的上海市高中阶段学校引进优秀体育学生，于2026年7月10日前办理注册手续的，可直接参加本届运动会。</w:t>
      </w:r>
    </w:p>
    <w:p w14:paraId="51143C9C">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九、参加办法</w:t>
      </w:r>
    </w:p>
    <w:p w14:paraId="59DE0EE2">
      <w:pPr>
        <w:overflowPunct w:val="0"/>
        <w:topLinePunct/>
        <w:spacing w:line="540" w:lineRule="exact"/>
        <w:ind w:left="105" w:leftChars="50" w:firstLine="560" w:firstLineChars="200"/>
        <w:rPr>
          <w:rFonts w:ascii="仿宋" w:hAnsi="仿宋" w:eastAsia="仿宋" w:cs="仿宋"/>
          <w:sz w:val="28"/>
          <w:szCs w:val="28"/>
        </w:rPr>
      </w:pPr>
      <w:r>
        <w:rPr>
          <w:rFonts w:hint="eastAsia" w:ascii="仿宋" w:hAnsi="仿宋" w:eastAsia="仿宋" w:cs="仿宋"/>
          <w:sz w:val="28"/>
          <w:szCs w:val="28"/>
        </w:rPr>
        <w:t>（一）报名人数：各代表团各组别可报1支队，每队可报领队1人，教练员1-3人，A、B组运动员5-12人，C组运动员6-12人。一旦报名，均不得进行增补和替换，运动员（队）不得无故弃权。</w:t>
      </w:r>
    </w:p>
    <w:p w14:paraId="38848B49">
      <w:pPr>
        <w:adjustRightInd w:val="0"/>
        <w:snapToGrid w:val="0"/>
        <w:spacing w:line="540" w:lineRule="exact"/>
        <w:ind w:firstLine="561"/>
        <w:rPr>
          <w:rFonts w:ascii="仿宋" w:hAnsi="仿宋" w:eastAsia="仿宋" w:cs="仿宋"/>
          <w:sz w:val="28"/>
          <w:szCs w:val="28"/>
        </w:rPr>
      </w:pPr>
      <w:r>
        <w:rPr>
          <w:rFonts w:hint="eastAsia" w:ascii="仿宋" w:hAnsi="仿宋" w:eastAsia="仿宋" w:cs="仿宋"/>
          <w:sz w:val="28"/>
          <w:szCs w:val="28"/>
        </w:rPr>
        <w:t>（二）交流运动员报名人数不超过该组别实际报名人数30%（按四舍五入计），上场人数不超1人（按四舍五入计）。</w:t>
      </w:r>
    </w:p>
    <w:p w14:paraId="52D0DBC3">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（三）参赛单位通过大会指定的网站</w:t>
      </w:r>
      <w:r>
        <w:fldChar w:fldCharType="begin"/>
      </w:r>
      <w:r>
        <w:instrText xml:space="preserve"> HYPERLINK "http://www.aijingsai.cn" </w:instrText>
      </w:r>
      <w:r>
        <w:fldChar w:fldCharType="separate"/>
      </w:r>
      <w:r>
        <w:rPr>
          <w:rStyle w:val="9"/>
          <w:rFonts w:hint="eastAsia" w:ascii="仿宋" w:hAnsi="仿宋" w:eastAsia="仿宋" w:cs="仿宋"/>
          <w:sz w:val="28"/>
          <w:szCs w:val="28"/>
        </w:rPr>
        <w:t>www.aijingsai.cn</w:t>
      </w:r>
      <w:r>
        <w:rPr>
          <w:rStyle w:val="9"/>
          <w:rFonts w:hint="eastAsia" w:ascii="仿宋" w:hAnsi="仿宋" w:eastAsia="仿宋" w:cs="仿宋"/>
          <w:sz w:val="28"/>
          <w:szCs w:val="28"/>
        </w:rPr>
        <w:fldChar w:fldCharType="end"/>
      </w:r>
      <w:r>
        <w:rPr>
          <w:rFonts w:hint="eastAsia" w:ascii="仿宋" w:hAnsi="仿宋" w:eastAsia="仿宋" w:cs="仿宋"/>
          <w:sz w:val="28"/>
          <w:szCs w:val="28"/>
        </w:rPr>
        <w:t>（上海青少年体育赛事网）进行网上报名，并在规定时间内将导出打印的报名表加盖公章后，一式两份报大会组委会竞赛部（地址：徐汇区零陵路800号8楼，竞赛部，31211118）。</w:t>
      </w:r>
    </w:p>
    <w:p w14:paraId="65C16CDD">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（四）各参赛单位须为运动员办理人身意外伤害保险。</w:t>
      </w:r>
    </w:p>
    <w:p w14:paraId="49926526">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十、竞赛办法</w:t>
      </w:r>
    </w:p>
    <w:p w14:paraId="047981F4">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（一）采用中国曲棍球协会最新审定公布的《曲棍球项目竞赛规则》及相关补充规定。</w:t>
      </w:r>
    </w:p>
    <w:p w14:paraId="30489485">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（二）分组排列办法：</w:t>
      </w:r>
    </w:p>
    <w:p w14:paraId="74EA27AE">
      <w:pPr>
        <w:widowControl/>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1.单循环比赛时，将根据国际曲联有关编排办法执行。</w:t>
      </w:r>
    </w:p>
    <w:p w14:paraId="4DD15587">
      <w:pPr>
        <w:widowControl/>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2.分组比赛时，根据2026年上海市青少年曲棍球锦标赛各组别名次，按蛇形排列原则进行分组排序，未参加上述赛事的球队，则进行抽签分组。</w:t>
      </w:r>
    </w:p>
    <w:p w14:paraId="1C227A7D">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3.若有交流协议（合作）运动员（队），比赛安排在首轮进行（含单循环比赛）。具体队伍的认定由竞委会进行认定，并在领队会进行公布。</w:t>
      </w:r>
    </w:p>
    <w:p w14:paraId="784D2BA8">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（三）赛制：</w:t>
      </w:r>
    </w:p>
    <w:p w14:paraId="7EB828AC">
      <w:pPr>
        <w:widowControl/>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1.不足8支参赛队，采用单循环比赛办法，决出本次比赛最终名次。</w:t>
      </w:r>
    </w:p>
    <w:p w14:paraId="258135A0">
      <w:pPr>
        <w:widowControl/>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2.8支队以上（含8支）采用分组交叉淘汰赛决出名次：</w:t>
      </w:r>
    </w:p>
    <w:p w14:paraId="0D70EC10">
      <w:pPr>
        <w:widowControl/>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（1）第一阶段分两个小组，采用单循环制，分别决出各小组的名次。</w:t>
      </w:r>
    </w:p>
    <w:p w14:paraId="0D721A43">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（2）第二阶段各小组前2名、3-4名分别进行交叉淘汰赛，决出本次比赛最终名次。</w:t>
      </w:r>
    </w:p>
    <w:p w14:paraId="13C7A26A">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（3）各小组第5名及以后的球队不再进行比赛。</w:t>
      </w:r>
    </w:p>
    <w:p w14:paraId="05DEDA9E">
      <w:pPr>
        <w:pStyle w:val="2"/>
        <w:spacing w:before="100" w:line="273" w:lineRule="auto"/>
        <w:ind w:left="33" w:right="127" w:firstLine="558"/>
        <w:rPr>
          <w:lang w:eastAsia="zh-CN"/>
        </w:rPr>
      </w:pPr>
      <w:r>
        <w:rPr>
          <w:rFonts w:hint="eastAsia"/>
          <w:lang w:eastAsia="zh-CN"/>
        </w:rPr>
        <w:t>（四）竞赛规则：</w:t>
      </w:r>
    </w:p>
    <w:p w14:paraId="7BCBE6F5">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1.按最新《曲棍球竞赛规则》及有关规定，A、B 组比赛上场运动员为5人，C 组比赛上场运动员为6人。</w:t>
      </w:r>
    </w:p>
    <w:p w14:paraId="010F489B">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2.每场比赛分2节，每节比赛时间为15分钟，各节比赛间休息3分钟。如遇高温等恶劣天气，为保护青少年健康和安全，组委会可视情况修订比赛时间和休息时间。</w:t>
      </w:r>
    </w:p>
    <w:p w14:paraId="3DBC7CBE">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3.在一场比赛中，净胜球达到10个，比赛即终止，比赛结果以及比分有效。</w:t>
      </w:r>
    </w:p>
    <w:p w14:paraId="5877D680">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（五）比赛服装：</w:t>
      </w:r>
    </w:p>
    <w:p w14:paraId="1CE613AA">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1.每队必须准备两套颜色不同的比赛服，女队员必须穿短裙，守 门员的两套上装颜色必须与其他队员颜色有明显区分。</w:t>
      </w:r>
    </w:p>
    <w:p w14:paraId="797447F3">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2.运动员比赛服装颜色不统一，不带护腿板和不着长袜者不得上 场比赛。</w:t>
      </w:r>
    </w:p>
    <w:p w14:paraId="34274AC5">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3.运动员的比赛服装，上衣背面及短裙或短裤的正面左侧需印有 实心号码，建议背面号码高20公分，短裙、短裤号码高7-9公分，守门员前胸、后背均需佩带号码。</w:t>
      </w:r>
    </w:p>
    <w:p w14:paraId="3706AB41">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4.比赛服装号码必须为1-99号。</w:t>
      </w:r>
    </w:p>
    <w:p w14:paraId="6E7C83B9">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5.运动员必须穿专用曲棍球鞋进入比赛场地，鞋、长袜以及守门 员的护腿、护脚颜色必须为深色，但不得为绿色（场地为绿色情况下）。</w:t>
      </w:r>
    </w:p>
    <w:p w14:paraId="5A70BC80">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（六）积分办法：</w:t>
      </w:r>
    </w:p>
    <w:p w14:paraId="29F7BCC6">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比赛必须决出胜负。在常规比赛时间内（30分钟）每队胜一场得3分，负一场得0分。如在常规比赛时间（30分钟）结束时两队比分相同，则A、B组进行挑战球决胜，C组进行点球决胜，胜队积2分，负队积1分。各队按积分多少决定名次，积分多者名次列前。如遇两个或两个以上队积分相等，则依次按以下办法决定名次：</w:t>
      </w:r>
    </w:p>
    <w:p w14:paraId="7486BC79">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（1）相互间胜负关系，胜者名次列前；</w:t>
      </w:r>
    </w:p>
    <w:p w14:paraId="4F426AE1">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（2）单循环比赛获胜场次多者名次列前；</w:t>
      </w:r>
    </w:p>
    <w:p w14:paraId="2E4646C7">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（3）单循环比赛净胜球数多者名次列前；</w:t>
      </w:r>
    </w:p>
    <w:p w14:paraId="60EFD249">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（4）单循环比赛进球总数多者名次列前。</w:t>
      </w:r>
    </w:p>
    <w:p w14:paraId="67C456F6">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注:以上办法，只计常规比赛时间（30分钟）内的竞赛结果。如以上办法仍无法决出名次，则A、B组采用挑战球，C组采用点球比赛办法决定名次。</w:t>
      </w:r>
    </w:p>
    <w:p w14:paraId="094C35A0">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（七）弃权规定：</w:t>
      </w:r>
    </w:p>
    <w:p w14:paraId="1AFC753C">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1.运动员（队）在报名后，因伤、病等原因不能参赛的，赛前应 出具二级甲等及以上医院病假单（因故不能参赛的，则出具书面说 明），经代表单位盖章，负责人签字确认。因参加全国比赛、集训等事宜不能参赛的，应出具全国比赛代表单位、项目中心等的证明（盖章），分管领导签字确认，否则将被认定为无故弃权。</w:t>
      </w:r>
    </w:p>
    <w:p w14:paraId="27E1A601">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2.因迟到等原因不能按时（开赛后15分钟内）参赛的运动员 （队），经单项竞委会确认后，该场比赛结果按照弃权方计0:10告负。</w:t>
      </w:r>
    </w:p>
    <w:p w14:paraId="6375F92E">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3.凡无正当理由弃权则取消该队本次比赛所有比赛结果，及该队 后续参赛资格，且不计名次。</w:t>
      </w:r>
    </w:p>
    <w:p w14:paraId="4C09DD0A">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4.无故弃权队不得因弃权获得任何利益，并由仲裁决定是否需要 执行其它进一步处理措施。</w:t>
      </w:r>
    </w:p>
    <w:p w14:paraId="1BD3C387">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（八）处罚规定：</w:t>
      </w:r>
    </w:p>
    <w:p w14:paraId="633616E2">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1.红、黄、绿牌的规定</w:t>
      </w:r>
    </w:p>
    <w:p w14:paraId="27016453">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（1）绿牌</w:t>
      </w:r>
    </w:p>
    <w:p w14:paraId="07A78CA0">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运动员被出示绿牌后必须出场1分钟，场上相应减少1人，对方进球后，受罚队员可立即返回场地。</w:t>
      </w:r>
    </w:p>
    <w:p w14:paraId="5476232A">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（2）黄牌</w:t>
      </w:r>
    </w:p>
    <w:p w14:paraId="3F440A26">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运动员被出示黄牌后必须出场2分钟或以上，场上相应减少1人，受罚队员必须接受全部时间的处罚。</w:t>
      </w:r>
    </w:p>
    <w:p w14:paraId="282D5FBA">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（3）红牌</w:t>
      </w:r>
    </w:p>
    <w:p w14:paraId="4B64D8F0">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一名运动员被出示红牌，即停止该场比赛权利，并自然停止下一场比赛。如技术代表或仲裁委员会对其没有进一步的处罚，则停赛一场后恢复比赛。</w:t>
      </w:r>
    </w:p>
    <w:p w14:paraId="21C51F0C">
      <w:pPr>
        <w:tabs>
          <w:tab w:val="left" w:pos="312"/>
        </w:tabs>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2.如运动队有被停赛的运动员，则该队替补席需相应减少运动员人数。</w:t>
      </w:r>
    </w:p>
    <w:p w14:paraId="6A5FDFDA">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（九）各组别参赛队数少于2个参赛单位3队，均不安排比赛。</w:t>
      </w:r>
    </w:p>
    <w:p w14:paraId="3BAC5DC2">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十一、录取名次、计牌计分和奖励办法</w:t>
      </w:r>
    </w:p>
    <w:p w14:paraId="563497A7">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（一）各组别</w:t>
      </w:r>
      <w:r>
        <w:rPr>
          <w:rFonts w:hint="eastAsia" w:ascii="仿宋" w:hAnsi="仿宋" w:eastAsia="仿宋" w:cs="仿宋"/>
          <w:bCs/>
          <w:sz w:val="28"/>
          <w:szCs w:val="28"/>
        </w:rPr>
        <w:t>录取前8名，不足8队参赛的，则按实际参赛队数录取名次。</w:t>
      </w:r>
    </w:p>
    <w:p w14:paraId="07181504">
      <w:pPr>
        <w:adjustRightInd w:val="0"/>
        <w:snapToGrid w:val="0"/>
        <w:spacing w:line="540" w:lineRule="exact"/>
        <w:ind w:firstLine="560" w:firstLineChars="200"/>
        <w:rPr>
          <w:rFonts w:ascii="仿宋" w:hAnsi="仿宋" w:eastAsia="仿宋" w:cs="仿宋"/>
          <w:bCs/>
          <w:spacing w:val="-4"/>
          <w:sz w:val="28"/>
          <w:szCs w:val="28"/>
        </w:rPr>
      </w:pPr>
      <w:r>
        <w:rPr>
          <w:rFonts w:hint="eastAsia" w:ascii="仿宋" w:hAnsi="仿宋" w:eastAsia="仿宋" w:cs="仿宋"/>
          <w:sz w:val="28"/>
          <w:szCs w:val="28"/>
        </w:rPr>
        <w:t>（二）</w:t>
      </w:r>
      <w:r>
        <w:rPr>
          <w:rFonts w:hint="eastAsia" w:ascii="仿宋" w:hAnsi="仿宋" w:eastAsia="仿宋" w:cs="仿宋"/>
          <w:bCs/>
          <w:sz w:val="28"/>
          <w:szCs w:val="28"/>
        </w:rPr>
        <w:t>有8队以上（含8队）参赛的，前三名依次按4金、2金、1金计牌，前8名依次按44、36、32、28、24、20、16、12计分；有3至7队参赛的，前三名依次按3金、1</w:t>
      </w:r>
      <w:r>
        <w:rPr>
          <w:rFonts w:hint="eastAsia" w:ascii="仿宋" w:hAnsi="仿宋" w:eastAsia="仿宋" w:cs="仿宋"/>
          <w:bCs/>
          <w:spacing w:val="-4"/>
          <w:sz w:val="28"/>
          <w:szCs w:val="28"/>
        </w:rPr>
        <w:t>金、</w:t>
      </w:r>
      <w:r>
        <w:rPr>
          <w:rFonts w:hint="eastAsia" w:ascii="仿宋" w:hAnsi="仿宋" w:eastAsia="仿宋" w:cs="仿宋"/>
          <w:bCs/>
          <w:sz w:val="28"/>
          <w:szCs w:val="28"/>
        </w:rPr>
        <w:t>0.5</w:t>
      </w:r>
      <w:r>
        <w:rPr>
          <w:rFonts w:hint="eastAsia" w:ascii="仿宋" w:hAnsi="仿宋" w:eastAsia="仿宋" w:cs="仿宋"/>
          <w:bCs/>
          <w:spacing w:val="-4"/>
          <w:sz w:val="28"/>
          <w:szCs w:val="28"/>
        </w:rPr>
        <w:t>金计牌，前七名依次按</w:t>
      </w:r>
      <w:r>
        <w:rPr>
          <w:rFonts w:hint="eastAsia" w:ascii="仿宋" w:hAnsi="仿宋" w:eastAsia="仿宋" w:cs="仿宋"/>
          <w:bCs/>
          <w:sz w:val="28"/>
          <w:szCs w:val="28"/>
        </w:rPr>
        <w:t>33</w:t>
      </w:r>
      <w:r>
        <w:rPr>
          <w:rFonts w:hint="eastAsia" w:ascii="仿宋" w:hAnsi="仿宋" w:eastAsia="仿宋" w:cs="仿宋"/>
          <w:bCs/>
          <w:spacing w:val="-4"/>
          <w:sz w:val="28"/>
          <w:szCs w:val="28"/>
        </w:rPr>
        <w:t>、</w:t>
      </w:r>
      <w:r>
        <w:rPr>
          <w:rFonts w:hint="eastAsia" w:ascii="仿宋" w:hAnsi="仿宋" w:eastAsia="仿宋" w:cs="仿宋"/>
          <w:bCs/>
          <w:sz w:val="28"/>
          <w:szCs w:val="28"/>
        </w:rPr>
        <w:t>27</w:t>
      </w:r>
      <w:r>
        <w:rPr>
          <w:rFonts w:hint="eastAsia" w:ascii="仿宋" w:hAnsi="仿宋" w:eastAsia="仿宋" w:cs="仿宋"/>
          <w:bCs/>
          <w:spacing w:val="-4"/>
          <w:sz w:val="28"/>
          <w:szCs w:val="28"/>
        </w:rPr>
        <w:t>、</w:t>
      </w:r>
      <w:r>
        <w:rPr>
          <w:rFonts w:hint="eastAsia" w:ascii="仿宋" w:hAnsi="仿宋" w:eastAsia="仿宋" w:cs="仿宋"/>
          <w:bCs/>
          <w:sz w:val="28"/>
          <w:szCs w:val="28"/>
        </w:rPr>
        <w:t>24</w:t>
      </w:r>
      <w:r>
        <w:rPr>
          <w:rFonts w:hint="eastAsia" w:ascii="仿宋" w:hAnsi="仿宋" w:eastAsia="仿宋" w:cs="仿宋"/>
          <w:bCs/>
          <w:spacing w:val="-4"/>
          <w:sz w:val="28"/>
          <w:szCs w:val="28"/>
        </w:rPr>
        <w:t>、</w:t>
      </w:r>
      <w:r>
        <w:rPr>
          <w:rFonts w:hint="eastAsia" w:ascii="仿宋" w:hAnsi="仿宋" w:eastAsia="仿宋" w:cs="仿宋"/>
          <w:bCs/>
          <w:sz w:val="28"/>
          <w:szCs w:val="28"/>
        </w:rPr>
        <w:t>21</w:t>
      </w:r>
      <w:r>
        <w:rPr>
          <w:rFonts w:hint="eastAsia" w:ascii="仿宋" w:hAnsi="仿宋" w:eastAsia="仿宋" w:cs="仿宋"/>
          <w:bCs/>
          <w:spacing w:val="-4"/>
          <w:sz w:val="28"/>
          <w:szCs w:val="28"/>
        </w:rPr>
        <w:t>、</w:t>
      </w:r>
      <w:r>
        <w:rPr>
          <w:rFonts w:hint="eastAsia" w:ascii="仿宋" w:hAnsi="仿宋" w:eastAsia="仿宋" w:cs="仿宋"/>
          <w:bCs/>
          <w:sz w:val="28"/>
          <w:szCs w:val="28"/>
        </w:rPr>
        <w:t>18、15、12</w:t>
      </w:r>
      <w:r>
        <w:rPr>
          <w:rFonts w:hint="eastAsia" w:ascii="仿宋" w:hAnsi="仿宋" w:eastAsia="仿宋" w:cs="仿宋"/>
          <w:bCs/>
          <w:spacing w:val="-4"/>
          <w:sz w:val="28"/>
          <w:szCs w:val="28"/>
        </w:rPr>
        <w:t>计分。</w:t>
      </w:r>
    </w:p>
    <w:p w14:paraId="043BC436">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（三）开展“体育道德风尚奖”评选活动，按照本届运动会竞赛规程总则的有关规定执行。</w:t>
      </w:r>
    </w:p>
    <w:p w14:paraId="524D3F8D">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十二、申诉和纪律</w:t>
      </w:r>
    </w:p>
    <w:p w14:paraId="16019D6D">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（一）仲裁委员会根据中国曲棍球协会纠纷解决机制，快速回应纠纷当事人的诉求，保障运动员、教练员等各方主体的合法权益。</w:t>
      </w:r>
    </w:p>
    <w:p w14:paraId="7FC8C92F">
      <w:pPr>
        <w:adjustRightInd w:val="0"/>
        <w:snapToGrid w:val="0"/>
        <w:spacing w:line="540" w:lineRule="exact"/>
        <w:ind w:firstLine="560" w:firstLineChars="200"/>
        <w:rPr>
          <w:rFonts w:ascii="仿宋" w:hAnsi="仿宋" w:eastAsia="仿宋" w:cs="仿宋"/>
          <w:b/>
          <w:bCs/>
          <w:sz w:val="28"/>
          <w:szCs w:val="28"/>
        </w:rPr>
      </w:pPr>
      <w:r>
        <w:rPr>
          <w:rFonts w:hint="eastAsia" w:ascii="仿宋" w:hAnsi="仿宋" w:eastAsia="仿宋" w:cs="仿宋"/>
          <w:sz w:val="28"/>
          <w:szCs w:val="28"/>
        </w:rPr>
        <w:t>（二）对运动员、教练员、裁判员和体育赛事组织者违反本届运动会赛风赛纪情形，一经查实，按照《上海市体育赛事活动赛风赛纪管理实施细则》及市运会组委会有关规定进行处罚。对发生任何兴奋剂违规事件的，按国家体育总局、上海市体育局反兴奋剂相关规定进行处罚。</w:t>
      </w:r>
    </w:p>
    <w:p w14:paraId="3FFA96A0">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十三、技术官员</w:t>
      </w:r>
    </w:p>
    <w:p w14:paraId="5DED7D39">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（一）按照本届运动会竞赛规程总则的有关规定执行。</w:t>
      </w:r>
    </w:p>
    <w:p w14:paraId="03A38459">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（二）比赛仲裁、技术代表、裁判长、副裁判长、编排长等技术官员由上海市竞技体育训练管理中心手曲棒垒球运动中心推荐，报市运会组委会最终确定。</w:t>
      </w:r>
    </w:p>
    <w:p w14:paraId="491F3F98">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十四、运动员技术等级授予</w:t>
      </w:r>
    </w:p>
    <w:p w14:paraId="09350EA6">
      <w:pPr>
        <w:adjustRightInd w:val="0"/>
        <w:snapToGrid w:val="0"/>
        <w:spacing w:line="540" w:lineRule="exact"/>
        <w:ind w:firstLine="560" w:firstLineChars="200"/>
        <w:rPr>
          <w:rFonts w:ascii="仿宋" w:hAnsi="仿宋" w:eastAsia="仿宋" w:cs="仿宋"/>
          <w:b/>
          <w:sz w:val="28"/>
          <w:szCs w:val="28"/>
        </w:rPr>
      </w:pPr>
      <w:r>
        <w:rPr>
          <w:rFonts w:hint="eastAsia" w:ascii="仿宋" w:hAnsi="仿宋" w:eastAsia="仿宋" w:cs="仿宋"/>
          <w:bCs/>
          <w:color w:val="000000"/>
          <w:sz w:val="28"/>
          <w:szCs w:val="28"/>
        </w:rPr>
        <w:t>本次比赛为2026年国家体育总局公布的可授予运动员技术等级称号赛事，本次比赛A组为可授予运动员技术等级的组别，具体标准按国家体育总局最新发布的《曲棍球项目运动员技术等级标准》执行。</w:t>
      </w:r>
    </w:p>
    <w:p w14:paraId="44E8125C">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十五、其他</w:t>
      </w:r>
    </w:p>
    <w:p w14:paraId="1B00006A">
      <w:pPr>
        <w:adjustRightInd w:val="0"/>
        <w:snapToGrid w:val="0"/>
        <w:spacing w:line="54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（一）如本规程内容与本届运动会竞赛规程总则或上海市体育局相关规定发生冲突，则以本届运动会总则或</w:t>
      </w:r>
      <w:bookmarkStart w:id="2" w:name="_GoBack"/>
      <w:bookmarkEnd w:id="2"/>
      <w:r>
        <w:rPr>
          <w:rFonts w:hint="eastAsia" w:ascii="仿宋" w:hAnsi="仿宋" w:eastAsia="仿宋" w:cs="仿宋"/>
          <w:color w:val="000000"/>
          <w:sz w:val="28"/>
          <w:szCs w:val="28"/>
        </w:rPr>
        <w:t>上海市体育局规定为准。</w:t>
      </w:r>
    </w:p>
    <w:p w14:paraId="073595F4">
      <w:pPr>
        <w:adjustRightInd w:val="0"/>
        <w:snapToGrid w:val="0"/>
        <w:spacing w:line="540" w:lineRule="exact"/>
        <w:ind w:firstLine="560" w:firstLineChars="200"/>
        <w:rPr>
          <w:rFonts w:ascii="仿宋" w:hAnsi="仿宋" w:eastAsia="仿宋" w:cs="仿宋"/>
          <w:color w:val="000000"/>
          <w:sz w:val="28"/>
          <w:szCs w:val="28"/>
        </w:rPr>
      </w:pPr>
      <w:bookmarkStart w:id="1" w:name="_Hlk162361054"/>
      <w:r>
        <w:rPr>
          <w:rFonts w:hint="eastAsia" w:ascii="仿宋" w:hAnsi="仿宋" w:eastAsia="仿宋" w:cs="仿宋"/>
          <w:color w:val="000000"/>
          <w:sz w:val="28"/>
          <w:szCs w:val="28"/>
        </w:rPr>
        <w:t>（二）参赛单位运动员、教练员应知晓体育竞赛的相关风险，确保自己身体状况符合参赛要求，自行承担非承办单位故意或重大过失导致的伤害。</w:t>
      </w:r>
      <w:bookmarkEnd w:id="1"/>
    </w:p>
    <w:p w14:paraId="2A14DBDB">
      <w:pPr>
        <w:adjustRightInd w:val="0"/>
        <w:snapToGrid w:val="0"/>
        <w:spacing w:line="54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（三）未尽事宜，另行通知。</w:t>
      </w:r>
    </w:p>
    <w:p w14:paraId="3A7821DB">
      <w:pPr>
        <w:rPr>
          <w:rFonts w:ascii="仿宋" w:hAnsi="仿宋" w:eastAsia="仿宋" w:cs="仿宋"/>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方正小标宋简体">
    <w:panose1 w:val="02000000000000000000"/>
    <w:charset w:val="86"/>
    <w:family w:val="auto"/>
    <w:pitch w:val="default"/>
    <w:sig w:usb0="00000001" w:usb1="08000000" w:usb2="00000000" w:usb3="00000000" w:csb0="00040000" w:csb1="00000000"/>
  </w:font>
  <w:font w:name="CESI楷体-GB2312">
    <w:altName w:val="宋体"/>
    <w:panose1 w:val="00000000000000000000"/>
    <w:charset w:val="86"/>
    <w:family w:val="auto"/>
    <w:pitch w:val="default"/>
    <w:sig w:usb0="00000000" w:usb1="00000000" w:usb2="00000012" w:usb3="00000000" w:csb0="0004000F" w:csb1="00000000"/>
  </w:font>
  <w:font w:name="CESI仿宋-GB2312">
    <w:altName w:val="仿宋"/>
    <w:panose1 w:val="00000000000000000000"/>
    <w:charset w:val="86"/>
    <w:family w:val="auto"/>
    <w:pitch w:val="default"/>
    <w:sig w:usb0="00000000" w:usb1="00000000" w:usb2="00000010"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CFCFDB67"/>
    <w:rsid w:val="005C1645"/>
    <w:rsid w:val="006D640B"/>
    <w:rsid w:val="00741A28"/>
    <w:rsid w:val="00DD78F0"/>
    <w:rsid w:val="01F34702"/>
    <w:rsid w:val="0BED2CDE"/>
    <w:rsid w:val="0E926DC5"/>
    <w:rsid w:val="0EDB8F15"/>
    <w:rsid w:val="11D24E50"/>
    <w:rsid w:val="14DC5FE6"/>
    <w:rsid w:val="1BD73478"/>
    <w:rsid w:val="1C4A1A87"/>
    <w:rsid w:val="1C76287C"/>
    <w:rsid w:val="1CD31A7D"/>
    <w:rsid w:val="1DBFD180"/>
    <w:rsid w:val="1F6713BF"/>
    <w:rsid w:val="1FFA5CA0"/>
    <w:rsid w:val="217565CC"/>
    <w:rsid w:val="23EF5C64"/>
    <w:rsid w:val="2B6F1603"/>
    <w:rsid w:val="2B7FBB22"/>
    <w:rsid w:val="2D2D51D9"/>
    <w:rsid w:val="2F465447"/>
    <w:rsid w:val="32AB107A"/>
    <w:rsid w:val="34DB81DB"/>
    <w:rsid w:val="35B2271F"/>
    <w:rsid w:val="360370C6"/>
    <w:rsid w:val="37FB5E40"/>
    <w:rsid w:val="3A6B0467"/>
    <w:rsid w:val="3AB43F04"/>
    <w:rsid w:val="3B5D10B2"/>
    <w:rsid w:val="3C5822BD"/>
    <w:rsid w:val="3C6C2990"/>
    <w:rsid w:val="3D1F09A8"/>
    <w:rsid w:val="4057639D"/>
    <w:rsid w:val="43727992"/>
    <w:rsid w:val="44FD328B"/>
    <w:rsid w:val="47329025"/>
    <w:rsid w:val="499B3FE0"/>
    <w:rsid w:val="4F3EBB3D"/>
    <w:rsid w:val="569C0B56"/>
    <w:rsid w:val="57AE5954"/>
    <w:rsid w:val="57FF1886"/>
    <w:rsid w:val="5A5E0519"/>
    <w:rsid w:val="5BFDFEC8"/>
    <w:rsid w:val="5CDCB5F9"/>
    <w:rsid w:val="5ED766E4"/>
    <w:rsid w:val="5FD17CEA"/>
    <w:rsid w:val="604363C0"/>
    <w:rsid w:val="615838CB"/>
    <w:rsid w:val="65EB6494"/>
    <w:rsid w:val="67CA225C"/>
    <w:rsid w:val="69BBE6FF"/>
    <w:rsid w:val="6DC9463D"/>
    <w:rsid w:val="6E5E5AD4"/>
    <w:rsid w:val="6FF4FFF4"/>
    <w:rsid w:val="735A15F5"/>
    <w:rsid w:val="739A3F53"/>
    <w:rsid w:val="746C550D"/>
    <w:rsid w:val="75FF40DB"/>
    <w:rsid w:val="75FF7DDF"/>
    <w:rsid w:val="777FF8C9"/>
    <w:rsid w:val="77CF3E5F"/>
    <w:rsid w:val="77E727EF"/>
    <w:rsid w:val="77EDD1A6"/>
    <w:rsid w:val="77FE16B9"/>
    <w:rsid w:val="7B393F7C"/>
    <w:rsid w:val="7BEFC499"/>
    <w:rsid w:val="7C6B6751"/>
    <w:rsid w:val="7CF84488"/>
    <w:rsid w:val="7D3FC1D0"/>
    <w:rsid w:val="7EBD84AA"/>
    <w:rsid w:val="7EFF0263"/>
    <w:rsid w:val="7F7FAED1"/>
    <w:rsid w:val="7FD10B86"/>
    <w:rsid w:val="7FD6B940"/>
    <w:rsid w:val="7FE9FF93"/>
    <w:rsid w:val="7FEE3B0E"/>
    <w:rsid w:val="7FF504B6"/>
    <w:rsid w:val="7FFB9421"/>
    <w:rsid w:val="7FFC0D75"/>
    <w:rsid w:val="7FFF0D0B"/>
    <w:rsid w:val="92BBA0C7"/>
    <w:rsid w:val="AFFB3280"/>
    <w:rsid w:val="B7FDF309"/>
    <w:rsid w:val="BAFE85EB"/>
    <w:rsid w:val="BD7B8F65"/>
    <w:rsid w:val="BD9DFB0C"/>
    <w:rsid w:val="BDFFED4D"/>
    <w:rsid w:val="BEBFEA98"/>
    <w:rsid w:val="CD67121E"/>
    <w:rsid w:val="CF74F6CB"/>
    <w:rsid w:val="CF7F2961"/>
    <w:rsid w:val="CFCFB309"/>
    <w:rsid w:val="CFCFDB67"/>
    <w:rsid w:val="DDBFBAF8"/>
    <w:rsid w:val="DED150B9"/>
    <w:rsid w:val="DEFC2721"/>
    <w:rsid w:val="E7FF5207"/>
    <w:rsid w:val="EF63B2F2"/>
    <w:rsid w:val="EFAE3E79"/>
    <w:rsid w:val="EFFF49B9"/>
    <w:rsid w:val="F7FF1CB1"/>
    <w:rsid w:val="FD5EA003"/>
    <w:rsid w:val="FDFE9722"/>
    <w:rsid w:val="FEDD41F1"/>
    <w:rsid w:val="FEEFABF6"/>
    <w:rsid w:val="FEFDE81E"/>
    <w:rsid w:val="FEFF1691"/>
    <w:rsid w:val="FF57191C"/>
    <w:rsid w:val="FF79E531"/>
    <w:rsid w:val="FFEF37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8"/>
      <w:szCs w:val="28"/>
      <w:lang w:eastAsia="en-US"/>
    </w:rPr>
  </w:style>
  <w:style w:type="paragraph" w:styleId="3">
    <w:name w:val="Body Text Indent 2"/>
    <w:basedOn w:val="1"/>
    <w:qFormat/>
    <w:uiPriority w:val="0"/>
    <w:pPr>
      <w:ind w:firstLine="570"/>
    </w:pPr>
    <w:rPr>
      <w:rFonts w:ascii="Times New Roman" w:hAnsi="Times New Roman"/>
      <w:szCs w:val="20"/>
    </w:rPr>
  </w:style>
  <w:style w:type="paragraph" w:styleId="4">
    <w:name w:val="footer"/>
    <w:basedOn w:val="1"/>
    <w:link w:val="11"/>
    <w:qFormat/>
    <w:uiPriority w:val="0"/>
    <w:pPr>
      <w:tabs>
        <w:tab w:val="center" w:pos="4153"/>
        <w:tab w:val="right" w:pos="8306"/>
      </w:tabs>
      <w:snapToGrid w:val="0"/>
      <w:jc w:val="left"/>
    </w:pPr>
    <w:rPr>
      <w:rFonts w:ascii="宋体" w:hAnsi="宋体"/>
      <w:sz w:val="28"/>
      <w:szCs w:val="18"/>
    </w:rPr>
  </w:style>
  <w:style w:type="paragraph" w:styleId="5">
    <w:name w:val="footnote text"/>
    <w:basedOn w:val="1"/>
    <w:qFormat/>
    <w:uiPriority w:val="99"/>
    <w:pPr>
      <w:snapToGrid w:val="0"/>
      <w:jc w:val="left"/>
    </w:pPr>
    <w:rPr>
      <w:sz w:val="18"/>
      <w:szCs w:val="18"/>
    </w:rPr>
  </w:style>
  <w:style w:type="paragraph" w:styleId="6">
    <w:name w:val="Title"/>
    <w:basedOn w:val="1"/>
    <w:qFormat/>
    <w:uiPriority w:val="0"/>
    <w:pPr>
      <w:spacing w:before="240" w:after="60"/>
      <w:jc w:val="center"/>
      <w:outlineLvl w:val="0"/>
    </w:pPr>
    <w:rPr>
      <w:rFonts w:ascii="Arial" w:hAnsi="Arial"/>
      <w:b/>
      <w:sz w:val="32"/>
    </w:rPr>
  </w:style>
  <w:style w:type="character" w:styleId="9">
    <w:name w:val="Hyperlink"/>
    <w:basedOn w:val="8"/>
    <w:qFormat/>
    <w:uiPriority w:val="99"/>
    <w:rPr>
      <w:color w:val="0000FF"/>
      <w:u w:val="single"/>
    </w:rPr>
  </w:style>
  <w:style w:type="character" w:styleId="10">
    <w:name w:val="footnote reference"/>
    <w:basedOn w:val="8"/>
    <w:qFormat/>
    <w:uiPriority w:val="99"/>
    <w:rPr>
      <w:vertAlign w:val="superscript"/>
    </w:rPr>
  </w:style>
  <w:style w:type="character" w:customStyle="1" w:styleId="11">
    <w:name w:val="页脚 字符"/>
    <w:basedOn w:val="8"/>
    <w:link w:val="4"/>
    <w:qFormat/>
    <w:uiPriority w:val="0"/>
    <w:rPr>
      <w:rFonts w:ascii="宋体" w:hAnsi="宋体" w:eastAsia="宋体" w:cs="Times New Roman"/>
      <w:kern w:val="2"/>
      <w:sz w:val="28"/>
      <w:szCs w:val="18"/>
    </w:rPr>
  </w:style>
  <w:style w:type="paragraph" w:customStyle="1" w:styleId="12">
    <w:name w:val="大标题"/>
    <w:basedOn w:val="6"/>
    <w:next w:val="13"/>
    <w:link w:val="15"/>
    <w:qFormat/>
    <w:uiPriority w:val="0"/>
    <w:pPr>
      <w:spacing w:line="560" w:lineRule="exact"/>
    </w:pPr>
    <w:rPr>
      <w:rFonts w:ascii="宋体" w:hAnsi="宋体" w:eastAsia="方正小标宋简体"/>
      <w:sz w:val="44"/>
    </w:rPr>
  </w:style>
  <w:style w:type="paragraph" w:customStyle="1" w:styleId="13">
    <w:name w:val="送审稿"/>
    <w:basedOn w:val="14"/>
    <w:next w:val="14"/>
    <w:qFormat/>
    <w:uiPriority w:val="0"/>
    <w:pPr>
      <w:adjustRightInd/>
      <w:snapToGrid/>
      <w:jc w:val="center"/>
    </w:pPr>
    <w:rPr>
      <w:rFonts w:ascii="CESI楷体-GB2312" w:hAnsi="CESI楷体-GB2312" w:eastAsia="CESI楷体-GB2312"/>
      <w:szCs w:val="32"/>
    </w:rPr>
  </w:style>
  <w:style w:type="paragraph" w:customStyle="1" w:styleId="14">
    <w:name w:val="正文内容"/>
    <w:basedOn w:val="1"/>
    <w:qFormat/>
    <w:uiPriority w:val="0"/>
    <w:pPr>
      <w:adjustRightInd w:val="0"/>
      <w:snapToGrid w:val="0"/>
      <w:spacing w:line="560" w:lineRule="exact"/>
      <w:ind w:firstLine="883" w:firstLineChars="200"/>
    </w:pPr>
    <w:rPr>
      <w:rFonts w:ascii="CESI仿宋-GB2312" w:hAnsi="CESI仿宋-GB2312" w:eastAsia="CESI仿宋-GB2312"/>
      <w:sz w:val="32"/>
    </w:rPr>
  </w:style>
  <w:style w:type="character" w:customStyle="1" w:styleId="15">
    <w:name w:val="大标题 Char"/>
    <w:link w:val="12"/>
    <w:qFormat/>
    <w:uiPriority w:val="0"/>
    <w:rPr>
      <w:rFonts w:ascii="宋体" w:hAnsi="宋体" w:eastAsia="方正小标宋简体" w:cs="Times New Roman"/>
      <w:sz w:val="44"/>
    </w:rPr>
  </w:style>
  <w:style w:type="paragraph" w:customStyle="1" w:styleId="16">
    <w:name w:val="Table Text"/>
    <w:basedOn w:val="1"/>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2182</Words>
  <Characters>2353</Characters>
  <Lines>25</Lines>
  <Paragraphs>7</Paragraphs>
  <TotalTime>8</TotalTime>
  <ScaleCrop>false</ScaleCrop>
  <LinksUpToDate>false</LinksUpToDate>
  <CharactersWithSpaces>2361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2026-01-15T14:42:00Z</dcterms:created>
  <dc:creator>user</dc:creator>
  <cp:lastModifiedBy>Xiangyou</cp:lastModifiedBy>
  <dcterms:modified xsi:type="dcterms:W3CDTF">2026-05-07T07:49:51Z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83E318B4137D409699607061A30FE1FB_13</vt:lpwstr>
  </property>
  <property fmtid="{D5CDD505-2E9C-101B-9397-08002B2CF9AE}" pid="4" name="KSOTemplateDocerSaveRecord">
    <vt:lpwstr>eyJoZGlkIjoiNjA2NmNjZDM3NzUzZGJhY2I3OTc1NzBkNDI5NDdhNTkiLCJ1c2VySWQiOiIxNDQ2MzUxODYzIn0=</vt:lpwstr>
  </property>
</Properties>
</file>