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5DC403">
      <w:pPr>
        <w:adjustRightInd w:val="0"/>
        <w:snapToGrid w:val="0"/>
        <w:spacing w:line="540" w:lineRule="exact"/>
        <w:jc w:val="center"/>
        <w:rPr>
          <w:rFonts w:ascii="宋体" w:hAnsi="宋体" w:cs="宋体"/>
          <w:b/>
          <w:bCs/>
          <w:sz w:val="36"/>
          <w:szCs w:val="36"/>
        </w:rPr>
      </w:pPr>
      <w:r>
        <w:rPr>
          <w:rFonts w:hint="eastAsia" w:ascii="宋体" w:hAnsi="宋体" w:cs="宋体"/>
          <w:b/>
          <w:bCs/>
          <w:sz w:val="36"/>
          <w:szCs w:val="36"/>
        </w:rPr>
        <w:t>上海市第十八届运动会帆船比赛（青少年组）</w:t>
      </w:r>
    </w:p>
    <w:p w14:paraId="5235711E">
      <w:pPr>
        <w:snapToGrid w:val="0"/>
        <w:spacing w:line="540" w:lineRule="exact"/>
        <w:jc w:val="center"/>
        <w:rPr>
          <w:rFonts w:ascii="宋体" w:hAnsi="宋体" w:cs="宋体"/>
          <w:b/>
          <w:bCs/>
          <w:sz w:val="36"/>
          <w:szCs w:val="36"/>
        </w:rPr>
      </w:pPr>
      <w:r>
        <w:rPr>
          <w:rFonts w:hint="eastAsia" w:ascii="宋体" w:hAnsi="宋体" w:cs="宋体"/>
          <w:b/>
          <w:bCs/>
          <w:sz w:val="36"/>
          <w:szCs w:val="36"/>
        </w:rPr>
        <w:t>竞赛规程</w:t>
      </w:r>
    </w:p>
    <w:p w14:paraId="6741776B">
      <w:pPr>
        <w:adjustRightInd w:val="0"/>
        <w:snapToGrid w:val="0"/>
        <w:spacing w:line="460" w:lineRule="exact"/>
        <w:ind w:firstLine="562" w:firstLineChars="200"/>
        <w:rPr>
          <w:rFonts w:ascii="仿宋" w:hAnsi="仿宋" w:eastAsia="仿宋" w:cs="仿宋"/>
          <w:b/>
          <w:sz w:val="28"/>
          <w:szCs w:val="28"/>
        </w:rPr>
      </w:pPr>
    </w:p>
    <w:p w14:paraId="558F36CF">
      <w:pPr>
        <w:adjustRightInd w:val="0"/>
        <w:snapToGrid w:val="0"/>
        <w:spacing w:line="460" w:lineRule="exact"/>
        <w:ind w:firstLine="562" w:firstLineChars="200"/>
        <w:rPr>
          <w:rFonts w:ascii="仿宋" w:hAnsi="仿宋" w:eastAsia="仿宋" w:cs="仿宋"/>
          <w:sz w:val="28"/>
          <w:szCs w:val="28"/>
        </w:rPr>
      </w:pPr>
      <w:r>
        <w:rPr>
          <w:rFonts w:hint="eastAsia" w:ascii="仿宋" w:hAnsi="仿宋" w:eastAsia="仿宋" w:cs="仿宋"/>
          <w:b/>
          <w:sz w:val="28"/>
          <w:szCs w:val="28"/>
        </w:rPr>
        <w:t>一、主办单位：</w:t>
      </w:r>
      <w:r>
        <w:rPr>
          <w:rFonts w:hint="eastAsia" w:ascii="仿宋" w:hAnsi="仿宋" w:eastAsia="仿宋" w:cs="仿宋"/>
          <w:sz w:val="28"/>
          <w:szCs w:val="28"/>
        </w:rPr>
        <w:t>上海市体育局、上海市教育委员会</w:t>
      </w:r>
    </w:p>
    <w:p w14:paraId="72369576">
      <w:pPr>
        <w:adjustRightInd w:val="0"/>
        <w:snapToGrid w:val="0"/>
        <w:spacing w:line="460" w:lineRule="exact"/>
        <w:ind w:firstLine="562" w:firstLineChars="200"/>
        <w:rPr>
          <w:rFonts w:ascii="仿宋" w:hAnsi="仿宋" w:eastAsia="仿宋" w:cs="仿宋"/>
          <w:b/>
          <w:sz w:val="28"/>
          <w:szCs w:val="28"/>
        </w:rPr>
      </w:pPr>
      <w:r>
        <w:rPr>
          <w:rFonts w:hint="eastAsia" w:ascii="仿宋" w:hAnsi="仿宋" w:eastAsia="仿宋" w:cs="仿宋"/>
          <w:b/>
          <w:sz w:val="28"/>
          <w:szCs w:val="28"/>
        </w:rPr>
        <w:t>二、承办单位：</w:t>
      </w:r>
      <w:r>
        <w:rPr>
          <w:rFonts w:hint="eastAsia" w:ascii="仿宋" w:hAnsi="仿宋" w:eastAsia="仿宋" w:cs="仿宋"/>
          <w:sz w:val="28"/>
          <w:szCs w:val="28"/>
        </w:rPr>
        <w:t>上海市奉贤区体育局、上海市青浦区体育局</w:t>
      </w:r>
    </w:p>
    <w:p w14:paraId="3310D025">
      <w:pPr>
        <w:adjustRightInd w:val="0"/>
        <w:snapToGrid w:val="0"/>
        <w:spacing w:line="460" w:lineRule="exact"/>
        <w:ind w:firstLine="2520" w:firstLineChars="900"/>
        <w:rPr>
          <w:rFonts w:ascii="仿宋" w:hAnsi="仿宋" w:eastAsia="仿宋" w:cs="仿宋"/>
          <w:sz w:val="28"/>
          <w:szCs w:val="28"/>
        </w:rPr>
      </w:pPr>
      <w:r>
        <w:rPr>
          <w:rFonts w:hint="eastAsia" w:ascii="仿宋" w:hAnsi="仿宋" w:eastAsia="仿宋" w:cs="仿宋"/>
          <w:sz w:val="28"/>
          <w:szCs w:val="28"/>
        </w:rPr>
        <w:t>上海市竞技体育训练管理中心水上运动中心</w:t>
      </w:r>
    </w:p>
    <w:p w14:paraId="270DF415">
      <w:pPr>
        <w:adjustRightInd w:val="0"/>
        <w:snapToGrid w:val="0"/>
        <w:spacing w:line="46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              上海市帆船帆板运动协会</w:t>
      </w:r>
    </w:p>
    <w:p w14:paraId="5D599EE5">
      <w:pPr>
        <w:adjustRightInd w:val="0"/>
        <w:snapToGrid w:val="0"/>
        <w:spacing w:line="460" w:lineRule="exact"/>
        <w:ind w:firstLine="2520" w:firstLineChars="900"/>
        <w:rPr>
          <w:rFonts w:ascii="仿宋" w:hAnsi="仿宋" w:eastAsia="仿宋" w:cs="仿宋"/>
          <w:sz w:val="28"/>
          <w:szCs w:val="28"/>
        </w:rPr>
      </w:pPr>
      <w:r>
        <w:rPr>
          <w:rFonts w:hint="eastAsia" w:ascii="仿宋" w:hAnsi="仿宋" w:eastAsia="仿宋" w:cs="仿宋"/>
          <w:sz w:val="28"/>
          <w:szCs w:val="28"/>
        </w:rPr>
        <w:t>上海奉贤区骑浪青少年体育俱乐部</w:t>
      </w:r>
    </w:p>
    <w:p w14:paraId="5231AC27">
      <w:pPr>
        <w:adjustRightInd w:val="0"/>
        <w:snapToGrid w:val="0"/>
        <w:spacing w:line="460" w:lineRule="exact"/>
        <w:ind w:firstLine="2520" w:firstLineChars="900"/>
        <w:rPr>
          <w:rFonts w:ascii="仿宋" w:hAnsi="仿宋" w:eastAsia="仿宋" w:cs="仿宋"/>
          <w:sz w:val="28"/>
          <w:szCs w:val="28"/>
        </w:rPr>
      </w:pPr>
      <w:r>
        <w:rPr>
          <w:rFonts w:hint="eastAsia" w:ascii="仿宋" w:hAnsi="仿宋" w:eastAsia="仿宋" w:cs="仿宋"/>
          <w:sz w:val="28"/>
          <w:szCs w:val="28"/>
        </w:rPr>
        <w:t>上海美帆游艇俱乐部有限公司</w:t>
      </w:r>
    </w:p>
    <w:p w14:paraId="56A642C3">
      <w:pPr>
        <w:adjustRightInd w:val="0"/>
        <w:snapToGrid w:val="0"/>
        <w:spacing w:line="460" w:lineRule="exact"/>
        <w:ind w:firstLine="562" w:firstLineChars="200"/>
        <w:rPr>
          <w:rFonts w:ascii="仿宋" w:hAnsi="仿宋" w:eastAsia="仿宋" w:cs="仿宋"/>
          <w:sz w:val="28"/>
          <w:szCs w:val="28"/>
        </w:rPr>
      </w:pPr>
      <w:r>
        <w:rPr>
          <w:rFonts w:hint="eastAsia" w:ascii="仿宋" w:hAnsi="仿宋" w:eastAsia="仿宋" w:cs="仿宋"/>
          <w:b/>
          <w:sz w:val="28"/>
          <w:szCs w:val="28"/>
        </w:rPr>
        <w:t>三、协办单位：</w:t>
      </w:r>
      <w:r>
        <w:rPr>
          <w:rFonts w:hint="eastAsia" w:ascii="仿宋" w:hAnsi="仿宋" w:eastAsia="仿宋" w:cs="仿宋"/>
          <w:sz w:val="28"/>
          <w:szCs w:val="28"/>
        </w:rPr>
        <w:t>奉贤区海湾旅游区管理委员会</w:t>
      </w:r>
    </w:p>
    <w:p w14:paraId="435C1093">
      <w:pPr>
        <w:adjustRightInd w:val="0"/>
        <w:snapToGrid w:val="0"/>
        <w:spacing w:line="460" w:lineRule="exact"/>
        <w:ind w:firstLine="2520" w:firstLineChars="900"/>
        <w:rPr>
          <w:rFonts w:ascii="仿宋" w:hAnsi="仿宋" w:eastAsia="仿宋" w:cs="仿宋"/>
          <w:sz w:val="28"/>
          <w:szCs w:val="28"/>
        </w:rPr>
      </w:pPr>
      <w:r>
        <w:rPr>
          <w:rFonts w:hint="eastAsia" w:ascii="仿宋" w:hAnsi="仿宋" w:eastAsia="仿宋" w:cs="仿宋"/>
          <w:sz w:val="28"/>
          <w:szCs w:val="28"/>
        </w:rPr>
        <w:t>上海碧海金沙投资发展有限公司</w:t>
      </w:r>
    </w:p>
    <w:p w14:paraId="3DF4BA29">
      <w:pPr>
        <w:adjustRightInd w:val="0"/>
        <w:snapToGrid w:val="0"/>
        <w:spacing w:line="460" w:lineRule="exact"/>
        <w:ind w:firstLine="562" w:firstLineChars="200"/>
        <w:rPr>
          <w:rFonts w:ascii="仿宋" w:hAnsi="仿宋" w:eastAsia="仿宋" w:cs="仿宋"/>
          <w:bCs/>
          <w:sz w:val="28"/>
          <w:szCs w:val="28"/>
        </w:rPr>
      </w:pPr>
      <w:r>
        <w:rPr>
          <w:rFonts w:hint="eastAsia" w:ascii="仿宋" w:hAnsi="仿宋" w:eastAsia="仿宋" w:cs="仿宋"/>
          <w:b/>
          <w:sz w:val="28"/>
          <w:szCs w:val="28"/>
        </w:rPr>
        <w:t>四、竞赛日期：</w:t>
      </w:r>
      <w:r>
        <w:rPr>
          <w:rFonts w:hint="eastAsia" w:ascii="仿宋" w:hAnsi="仿宋" w:eastAsia="仿宋" w:cs="仿宋"/>
          <w:bCs/>
          <w:sz w:val="28"/>
          <w:szCs w:val="28"/>
        </w:rPr>
        <w:t>2026年10月15—18日（诺卡拉级）</w:t>
      </w:r>
    </w:p>
    <w:p w14:paraId="709679CE">
      <w:pPr>
        <w:adjustRightInd w:val="0"/>
        <w:snapToGrid w:val="0"/>
        <w:spacing w:line="460" w:lineRule="exact"/>
        <w:ind w:firstLine="2520" w:firstLineChars="900"/>
        <w:rPr>
          <w:rFonts w:ascii="仿宋" w:hAnsi="仿宋" w:eastAsia="仿宋" w:cs="仿宋"/>
          <w:bCs/>
          <w:sz w:val="28"/>
          <w:szCs w:val="28"/>
        </w:rPr>
      </w:pPr>
      <w:r>
        <w:rPr>
          <w:rFonts w:hint="eastAsia" w:ascii="仿宋" w:hAnsi="仿宋" w:eastAsia="仿宋" w:cs="仿宋"/>
          <w:bCs/>
          <w:sz w:val="28"/>
          <w:szCs w:val="28"/>
        </w:rPr>
        <w:t>2026年10月27日—11月1日</w:t>
      </w:r>
    </w:p>
    <w:p w14:paraId="57CBB58B">
      <w:pPr>
        <w:adjustRightInd w:val="0"/>
        <w:snapToGrid w:val="0"/>
        <w:spacing w:line="460" w:lineRule="exact"/>
        <w:ind w:firstLine="562" w:firstLineChars="200"/>
        <w:rPr>
          <w:rFonts w:ascii="仿宋" w:hAnsi="仿宋" w:eastAsia="仿宋" w:cs="仿宋"/>
          <w:sz w:val="28"/>
          <w:szCs w:val="28"/>
        </w:rPr>
      </w:pPr>
      <w:r>
        <w:rPr>
          <w:rFonts w:hint="eastAsia" w:ascii="仿宋" w:hAnsi="仿宋" w:eastAsia="仿宋" w:cs="仿宋"/>
          <w:b/>
          <w:sz w:val="28"/>
          <w:szCs w:val="28"/>
        </w:rPr>
        <w:t>五、竞赛地点：</w:t>
      </w:r>
      <w:r>
        <w:rPr>
          <w:rFonts w:hint="eastAsia" w:ascii="仿宋" w:hAnsi="仿宋" w:eastAsia="仿宋" w:cs="仿宋"/>
          <w:bCs/>
          <w:sz w:val="28"/>
          <w:szCs w:val="28"/>
        </w:rPr>
        <w:t>诺卡拉级：</w:t>
      </w:r>
      <w:r>
        <w:rPr>
          <w:rFonts w:hint="eastAsia" w:ascii="仿宋" w:hAnsi="仿宋" w:eastAsia="仿宋" w:cs="仿宋"/>
          <w:sz w:val="28"/>
          <w:szCs w:val="28"/>
        </w:rPr>
        <w:t>上海美帆游艇俱乐部有限公司</w:t>
      </w:r>
    </w:p>
    <w:p w14:paraId="3D0069F1">
      <w:pPr>
        <w:adjustRightInd w:val="0"/>
        <w:snapToGrid w:val="0"/>
        <w:spacing w:line="460" w:lineRule="exact"/>
        <w:rPr>
          <w:rFonts w:ascii="仿宋" w:hAnsi="仿宋" w:eastAsia="仿宋" w:cs="仿宋"/>
          <w:sz w:val="28"/>
          <w:szCs w:val="28"/>
        </w:rPr>
      </w:pPr>
      <w:r>
        <w:rPr>
          <w:rFonts w:hint="eastAsia" w:ascii="仿宋" w:hAnsi="仿宋" w:eastAsia="仿宋" w:cs="仿宋"/>
          <w:sz w:val="28"/>
          <w:szCs w:val="28"/>
        </w:rPr>
        <w:t xml:space="preserve">                            （上海市青浦区金商公路588号）；</w:t>
      </w:r>
    </w:p>
    <w:p w14:paraId="53ED1139">
      <w:pPr>
        <w:adjustRightInd w:val="0"/>
        <w:snapToGrid w:val="0"/>
        <w:spacing w:line="460" w:lineRule="exact"/>
        <w:ind w:firstLine="2680" w:firstLineChars="1000"/>
        <w:rPr>
          <w:rFonts w:ascii="仿宋" w:hAnsi="仿宋" w:eastAsia="仿宋" w:cs="仿宋"/>
          <w:bCs/>
          <w:spacing w:val="-6"/>
          <w:sz w:val="28"/>
        </w:rPr>
      </w:pPr>
      <w:r>
        <w:rPr>
          <w:rFonts w:hint="eastAsia" w:ascii="仿宋" w:hAnsi="仿宋" w:eastAsia="仿宋" w:cs="仿宋"/>
          <w:bCs/>
          <w:spacing w:val="-6"/>
          <w:sz w:val="28"/>
        </w:rPr>
        <w:t>除诺卡拉外全部组别：奉贤区碧海金沙</w:t>
      </w:r>
    </w:p>
    <w:p w14:paraId="48BAAD45">
      <w:pPr>
        <w:adjustRightInd w:val="0"/>
        <w:snapToGrid w:val="0"/>
        <w:spacing w:line="460" w:lineRule="exact"/>
        <w:ind w:firstLine="4020" w:firstLineChars="1500"/>
        <w:rPr>
          <w:rFonts w:ascii="仿宋" w:hAnsi="仿宋" w:eastAsia="仿宋" w:cs="仿宋"/>
          <w:b/>
          <w:bCs/>
          <w:sz w:val="28"/>
          <w:szCs w:val="28"/>
        </w:rPr>
      </w:pPr>
      <w:r>
        <w:rPr>
          <w:rFonts w:hint="eastAsia" w:ascii="仿宋" w:hAnsi="仿宋" w:eastAsia="仿宋" w:cs="仿宋"/>
          <w:bCs/>
          <w:spacing w:val="-6"/>
          <w:sz w:val="28"/>
        </w:rPr>
        <w:t>（上海市奉贤区海涵路6号）；</w:t>
      </w:r>
    </w:p>
    <w:p w14:paraId="3C9609AE">
      <w:pPr>
        <w:adjustRightInd w:val="0"/>
        <w:snapToGrid w:val="0"/>
        <w:spacing w:line="460" w:lineRule="exact"/>
        <w:ind w:firstLine="562" w:firstLineChars="200"/>
        <w:rPr>
          <w:rFonts w:ascii="仿宋" w:hAnsi="仿宋" w:eastAsia="仿宋" w:cs="仿宋"/>
          <w:sz w:val="28"/>
          <w:szCs w:val="28"/>
        </w:rPr>
      </w:pPr>
      <w:r>
        <w:rPr>
          <w:rFonts w:hint="eastAsia" w:ascii="仿宋" w:hAnsi="仿宋" w:eastAsia="仿宋" w:cs="仿宋"/>
          <w:b/>
          <w:bCs/>
          <w:sz w:val="28"/>
          <w:szCs w:val="28"/>
        </w:rPr>
        <w:t>六、参赛单位</w:t>
      </w:r>
      <w:r>
        <w:rPr>
          <w:rFonts w:hint="eastAsia" w:ascii="仿宋" w:hAnsi="仿宋" w:eastAsia="仿宋" w:cs="仿宋"/>
          <w:sz w:val="28"/>
          <w:szCs w:val="28"/>
        </w:rPr>
        <w:t>：本市各区</w:t>
      </w:r>
    </w:p>
    <w:p w14:paraId="62FE3B57">
      <w:pPr>
        <w:adjustRightInd w:val="0"/>
        <w:snapToGrid w:val="0"/>
        <w:spacing w:after="240" w:line="460" w:lineRule="exact"/>
        <w:ind w:firstLine="562" w:firstLineChars="200"/>
        <w:rPr>
          <w:rFonts w:ascii="仿宋" w:hAnsi="仿宋" w:eastAsia="仿宋" w:cs="仿宋"/>
          <w:b/>
          <w:sz w:val="28"/>
          <w:szCs w:val="28"/>
        </w:rPr>
      </w:pPr>
      <w:r>
        <w:rPr>
          <w:rFonts w:hint="eastAsia" w:ascii="仿宋" w:hAnsi="仿宋" w:eastAsia="仿宋" w:cs="仿宋"/>
          <w:b/>
          <w:sz w:val="28"/>
          <w:szCs w:val="28"/>
        </w:rPr>
        <w:t>七、年龄组别和小项设置</w:t>
      </w:r>
    </w:p>
    <w:tbl>
      <w:tblPr>
        <w:tblStyle w:val="17"/>
        <w:tblW w:w="876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78"/>
        <w:gridCol w:w="1418"/>
        <w:gridCol w:w="708"/>
        <w:gridCol w:w="3040"/>
        <w:gridCol w:w="3024"/>
      </w:tblGrid>
      <w:tr w14:paraId="5A1E8ED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3" w:hRule="atLeast"/>
          <w:jc w:val="center"/>
        </w:trPr>
        <w:tc>
          <w:tcPr>
            <w:tcW w:w="578" w:type="dxa"/>
            <w:tcBorders>
              <w:top w:val="single" w:color="000000" w:sz="6" w:space="0"/>
              <w:left w:val="single" w:color="000000" w:sz="6" w:space="0"/>
              <w:bottom w:val="nil"/>
              <w:right w:val="single" w:color="000000" w:sz="6" w:space="0"/>
            </w:tcBorders>
            <w:vAlign w:val="center"/>
          </w:tcPr>
          <w:p w14:paraId="4E375E5C">
            <w:pPr>
              <w:ind w:left="9"/>
              <w:jc w:val="center"/>
              <w:rPr>
                <w:rFonts w:ascii="仿宋" w:hAnsi="仿宋" w:eastAsia="仿宋" w:cs="仿宋"/>
                <w:szCs w:val="21"/>
              </w:rPr>
            </w:pPr>
            <w:r>
              <w:rPr>
                <w:rFonts w:hint="eastAsia" w:ascii="仿宋" w:hAnsi="仿宋" w:eastAsia="仿宋" w:cs="仿宋"/>
                <w:b/>
                <w:bCs/>
                <w:szCs w:val="21"/>
              </w:rPr>
              <w:t>组别</w:t>
            </w:r>
          </w:p>
        </w:tc>
        <w:tc>
          <w:tcPr>
            <w:tcW w:w="1418" w:type="dxa"/>
            <w:tcBorders>
              <w:top w:val="single" w:color="000000" w:sz="6" w:space="0"/>
              <w:left w:val="single" w:color="000000" w:sz="6" w:space="0"/>
              <w:bottom w:val="nil"/>
              <w:right w:val="single" w:color="000000" w:sz="6" w:space="0"/>
            </w:tcBorders>
            <w:vAlign w:val="center"/>
          </w:tcPr>
          <w:p w14:paraId="3D2BBC86">
            <w:pPr>
              <w:ind w:left="23"/>
              <w:jc w:val="center"/>
              <w:rPr>
                <w:rFonts w:ascii="仿宋" w:hAnsi="仿宋" w:eastAsia="仿宋" w:cs="仿宋"/>
                <w:szCs w:val="21"/>
              </w:rPr>
            </w:pPr>
            <w:r>
              <w:rPr>
                <w:rFonts w:hint="eastAsia" w:ascii="仿宋" w:hAnsi="仿宋" w:eastAsia="仿宋" w:cs="仿宋"/>
                <w:b/>
                <w:bCs/>
                <w:szCs w:val="21"/>
              </w:rPr>
              <w:t>年龄段</w:t>
            </w:r>
          </w:p>
        </w:tc>
        <w:tc>
          <w:tcPr>
            <w:tcW w:w="708" w:type="dxa"/>
            <w:tcBorders>
              <w:top w:val="single" w:color="000000" w:sz="6" w:space="0"/>
              <w:left w:val="single" w:color="000000" w:sz="6" w:space="0"/>
              <w:bottom w:val="nil"/>
              <w:right w:val="single" w:color="000000" w:sz="6" w:space="0"/>
            </w:tcBorders>
            <w:vAlign w:val="center"/>
          </w:tcPr>
          <w:p w14:paraId="51EC36FF">
            <w:pPr>
              <w:ind w:left="49"/>
              <w:jc w:val="center"/>
              <w:rPr>
                <w:rFonts w:ascii="仿宋" w:hAnsi="仿宋" w:eastAsia="仿宋" w:cs="仿宋"/>
                <w:szCs w:val="21"/>
              </w:rPr>
            </w:pPr>
            <w:r>
              <w:rPr>
                <w:rFonts w:hint="eastAsia" w:ascii="仿宋" w:hAnsi="仿宋" w:eastAsia="仿宋" w:cs="仿宋"/>
                <w:b/>
                <w:bCs/>
                <w:szCs w:val="21"/>
              </w:rPr>
              <w:t>设项数</w:t>
            </w:r>
          </w:p>
        </w:tc>
        <w:tc>
          <w:tcPr>
            <w:tcW w:w="3040" w:type="dxa"/>
            <w:tcBorders>
              <w:top w:val="single" w:color="000000" w:sz="6" w:space="0"/>
              <w:left w:val="single" w:color="000000" w:sz="6" w:space="0"/>
              <w:bottom w:val="single" w:color="000000" w:sz="6" w:space="0"/>
              <w:right w:val="single" w:color="000000" w:sz="6" w:space="0"/>
            </w:tcBorders>
            <w:vAlign w:val="center"/>
          </w:tcPr>
          <w:p w14:paraId="6E06B810">
            <w:pPr>
              <w:ind w:left="9"/>
              <w:jc w:val="center"/>
              <w:rPr>
                <w:rFonts w:ascii="仿宋" w:hAnsi="仿宋" w:eastAsia="仿宋" w:cs="仿宋"/>
                <w:b/>
                <w:bCs/>
                <w:szCs w:val="21"/>
              </w:rPr>
            </w:pPr>
            <w:r>
              <w:rPr>
                <w:rFonts w:hint="eastAsia" w:ascii="仿宋" w:hAnsi="仿宋" w:eastAsia="仿宋" w:cs="仿宋"/>
                <w:b/>
                <w:bCs/>
                <w:szCs w:val="21"/>
              </w:rPr>
              <w:t>男子</w:t>
            </w:r>
          </w:p>
        </w:tc>
        <w:tc>
          <w:tcPr>
            <w:tcW w:w="3024" w:type="dxa"/>
            <w:tcBorders>
              <w:top w:val="single" w:color="000000" w:sz="6" w:space="0"/>
              <w:left w:val="single" w:color="000000" w:sz="6" w:space="0"/>
              <w:bottom w:val="single" w:color="000000" w:sz="6" w:space="0"/>
              <w:right w:val="single" w:color="000000" w:sz="6" w:space="0"/>
            </w:tcBorders>
            <w:vAlign w:val="center"/>
          </w:tcPr>
          <w:p w14:paraId="12D03F71">
            <w:pPr>
              <w:ind w:left="9"/>
              <w:jc w:val="center"/>
              <w:rPr>
                <w:rFonts w:ascii="仿宋" w:hAnsi="仿宋" w:eastAsia="仿宋" w:cs="仿宋"/>
                <w:b/>
                <w:bCs/>
                <w:szCs w:val="21"/>
              </w:rPr>
            </w:pPr>
            <w:r>
              <w:rPr>
                <w:rFonts w:hint="eastAsia" w:ascii="仿宋" w:hAnsi="仿宋" w:eastAsia="仿宋" w:cs="仿宋"/>
                <w:b/>
                <w:bCs/>
                <w:szCs w:val="21"/>
              </w:rPr>
              <w:t>女子</w:t>
            </w:r>
          </w:p>
        </w:tc>
      </w:tr>
      <w:tr w14:paraId="58D0705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0" w:hRule="atLeast"/>
          <w:jc w:val="center"/>
        </w:trPr>
        <w:tc>
          <w:tcPr>
            <w:tcW w:w="578" w:type="dxa"/>
            <w:vMerge w:val="restart"/>
            <w:tcBorders>
              <w:top w:val="single" w:color="000000" w:sz="6" w:space="0"/>
              <w:left w:val="single" w:color="000000" w:sz="6" w:space="0"/>
              <w:bottom w:val="nil"/>
              <w:right w:val="single" w:color="000000" w:sz="6" w:space="0"/>
            </w:tcBorders>
            <w:vAlign w:val="center"/>
          </w:tcPr>
          <w:p w14:paraId="6159CDAD">
            <w:pPr>
              <w:jc w:val="center"/>
              <w:rPr>
                <w:rFonts w:ascii="仿宋" w:hAnsi="仿宋" w:eastAsia="仿宋" w:cs="仿宋"/>
                <w:szCs w:val="21"/>
              </w:rPr>
            </w:pPr>
            <w:r>
              <w:rPr>
                <w:rFonts w:hint="eastAsia" w:ascii="仿宋" w:hAnsi="仿宋" w:eastAsia="仿宋" w:cs="仿宋"/>
                <w:szCs w:val="21"/>
              </w:rPr>
              <w:t>A</w:t>
            </w:r>
          </w:p>
        </w:tc>
        <w:tc>
          <w:tcPr>
            <w:tcW w:w="1418" w:type="dxa"/>
            <w:vMerge w:val="restart"/>
            <w:tcBorders>
              <w:top w:val="single" w:color="000000" w:sz="6" w:space="0"/>
              <w:left w:val="single" w:color="000000" w:sz="6" w:space="0"/>
              <w:bottom w:val="nil"/>
              <w:right w:val="single" w:color="000000" w:sz="6" w:space="0"/>
            </w:tcBorders>
            <w:vAlign w:val="center"/>
          </w:tcPr>
          <w:p w14:paraId="4D345950">
            <w:pPr>
              <w:ind w:left="163"/>
              <w:jc w:val="center"/>
              <w:rPr>
                <w:rFonts w:ascii="仿宋" w:hAnsi="仿宋" w:eastAsia="仿宋" w:cs="仿宋"/>
                <w:szCs w:val="21"/>
              </w:rPr>
            </w:pPr>
            <w:r>
              <w:rPr>
                <w:rFonts w:hint="eastAsia" w:ascii="仿宋" w:hAnsi="仿宋" w:eastAsia="仿宋" w:cs="仿宋"/>
                <w:szCs w:val="21"/>
              </w:rPr>
              <w:t>20</w:t>
            </w:r>
            <w:r>
              <w:rPr>
                <w:rFonts w:ascii="仿宋" w:hAnsi="仿宋" w:eastAsia="仿宋" w:cs="仿宋"/>
                <w:szCs w:val="21"/>
              </w:rPr>
              <w:t>08.9.1</w:t>
            </w:r>
          </w:p>
          <w:p w14:paraId="6C532861">
            <w:pPr>
              <w:ind w:left="163"/>
              <w:jc w:val="center"/>
              <w:rPr>
                <w:rFonts w:ascii="仿宋" w:hAnsi="仿宋" w:eastAsia="仿宋" w:cs="仿宋"/>
                <w:szCs w:val="21"/>
              </w:rPr>
            </w:pPr>
            <w:r>
              <w:rPr>
                <w:rFonts w:ascii="仿宋" w:hAnsi="仿宋" w:eastAsia="仿宋" w:cs="仿宋"/>
                <w:szCs w:val="21"/>
              </w:rPr>
              <w:t>-</w:t>
            </w:r>
            <w:r>
              <w:rPr>
                <w:rFonts w:hint="eastAsia" w:ascii="仿宋" w:hAnsi="仿宋" w:eastAsia="仿宋" w:cs="仿宋"/>
                <w:szCs w:val="21"/>
              </w:rPr>
              <w:t>20</w:t>
            </w:r>
            <w:r>
              <w:rPr>
                <w:rFonts w:ascii="仿宋" w:hAnsi="仿宋" w:eastAsia="仿宋" w:cs="仿宋"/>
                <w:szCs w:val="21"/>
              </w:rPr>
              <w:t>14.12.31</w:t>
            </w:r>
          </w:p>
        </w:tc>
        <w:tc>
          <w:tcPr>
            <w:tcW w:w="708" w:type="dxa"/>
            <w:vMerge w:val="restart"/>
            <w:tcBorders>
              <w:top w:val="single" w:color="000000" w:sz="6" w:space="0"/>
              <w:left w:val="single" w:color="000000" w:sz="6" w:space="0"/>
              <w:bottom w:val="nil"/>
              <w:right w:val="single" w:color="000000" w:sz="6" w:space="0"/>
            </w:tcBorders>
            <w:vAlign w:val="center"/>
          </w:tcPr>
          <w:p w14:paraId="4D40F4AB">
            <w:pPr>
              <w:spacing w:before="59" w:line="183" w:lineRule="auto"/>
              <w:ind w:left="21" w:leftChars="10"/>
              <w:jc w:val="center"/>
              <w:rPr>
                <w:rFonts w:ascii="仿宋" w:hAnsi="仿宋" w:eastAsia="仿宋" w:cs="仿宋"/>
                <w:szCs w:val="21"/>
              </w:rPr>
            </w:pPr>
            <w:r>
              <w:rPr>
                <w:rFonts w:hint="eastAsia" w:ascii="仿宋" w:hAnsi="仿宋" w:eastAsia="仿宋" w:cs="仿宋"/>
                <w:szCs w:val="21"/>
              </w:rPr>
              <w:t>12</w:t>
            </w:r>
          </w:p>
        </w:tc>
        <w:tc>
          <w:tcPr>
            <w:tcW w:w="3040" w:type="dxa"/>
            <w:tcBorders>
              <w:top w:val="single" w:color="000000" w:sz="6" w:space="0"/>
              <w:left w:val="single" w:color="000000" w:sz="6" w:space="0"/>
              <w:bottom w:val="single" w:color="000000" w:sz="6" w:space="0"/>
              <w:right w:val="single" w:color="000000" w:sz="6" w:space="0"/>
            </w:tcBorders>
            <w:vAlign w:val="center"/>
          </w:tcPr>
          <w:p w14:paraId="4FF71F75">
            <w:pPr>
              <w:ind w:left="73" w:leftChars="35"/>
              <w:jc w:val="center"/>
              <w:rPr>
                <w:rFonts w:ascii="仿宋" w:hAnsi="仿宋" w:eastAsia="仿宋" w:cs="仿宋"/>
                <w:szCs w:val="21"/>
              </w:rPr>
            </w:pPr>
            <w:r>
              <w:rPr>
                <w:rFonts w:hint="eastAsia" w:ascii="仿宋" w:hAnsi="仿宋" w:eastAsia="仿宋" w:cs="仿宋"/>
                <w:szCs w:val="21"/>
              </w:rPr>
              <w:t>青年</w:t>
            </w:r>
            <w:r>
              <w:rPr>
                <w:rFonts w:ascii="仿宋" w:hAnsi="仿宋" w:eastAsia="仿宋" w:cs="仿宋"/>
                <w:szCs w:val="21"/>
              </w:rPr>
              <w:t>ILCA6（</w:t>
            </w:r>
            <w:r>
              <w:rPr>
                <w:rFonts w:hint="eastAsia" w:ascii="仿宋" w:hAnsi="仿宋" w:eastAsia="仿宋" w:cs="仿宋"/>
                <w:szCs w:val="21"/>
              </w:rPr>
              <w:t>青年</w:t>
            </w:r>
            <w:r>
              <w:rPr>
                <w:rFonts w:ascii="仿宋" w:hAnsi="仿宋" w:eastAsia="仿宋" w:cs="仿宋"/>
                <w:szCs w:val="21"/>
              </w:rPr>
              <w:t>爱尔卡6级）场地赛</w:t>
            </w:r>
          </w:p>
          <w:p w14:paraId="567EB574">
            <w:pPr>
              <w:ind w:left="73" w:leftChars="35"/>
              <w:jc w:val="center"/>
              <w:rPr>
                <w:rFonts w:ascii="仿宋" w:hAnsi="仿宋" w:eastAsia="仿宋" w:cs="仿宋"/>
                <w:szCs w:val="21"/>
              </w:rPr>
            </w:pPr>
            <w:r>
              <w:rPr>
                <w:rFonts w:ascii="仿宋" w:hAnsi="仿宋" w:eastAsia="仿宋" w:cs="仿宋"/>
                <w:szCs w:val="21"/>
              </w:rPr>
              <w:t>ILCA4（爱尔卡4级）场地赛</w:t>
            </w:r>
          </w:p>
          <w:p w14:paraId="5603F6D6">
            <w:pPr>
              <w:ind w:left="73" w:leftChars="35"/>
              <w:jc w:val="center"/>
              <w:rPr>
                <w:rFonts w:ascii="仿宋" w:hAnsi="仿宋" w:eastAsia="仿宋" w:cs="仿宋"/>
                <w:szCs w:val="21"/>
              </w:rPr>
            </w:pPr>
            <w:r>
              <w:rPr>
                <w:rFonts w:ascii="仿宋" w:hAnsi="仿宋" w:eastAsia="仿宋" w:cs="仿宋"/>
                <w:szCs w:val="21"/>
              </w:rPr>
              <w:t>ILCA4（爱尔卡4级）长距离赛</w:t>
            </w:r>
          </w:p>
          <w:p w14:paraId="71214575">
            <w:pPr>
              <w:ind w:left="73" w:leftChars="35"/>
              <w:jc w:val="center"/>
              <w:rPr>
                <w:rFonts w:ascii="仿宋" w:hAnsi="仿宋" w:eastAsia="仿宋" w:cs="仿宋"/>
                <w:szCs w:val="21"/>
              </w:rPr>
            </w:pPr>
            <w:r>
              <w:rPr>
                <w:rFonts w:ascii="仿宋" w:hAnsi="仿宋" w:eastAsia="仿宋" w:cs="仿宋"/>
                <w:szCs w:val="21"/>
              </w:rPr>
              <w:t>OP级场地赛</w:t>
            </w:r>
          </w:p>
        </w:tc>
        <w:tc>
          <w:tcPr>
            <w:tcW w:w="3024" w:type="dxa"/>
            <w:tcBorders>
              <w:top w:val="single" w:color="000000" w:sz="6" w:space="0"/>
              <w:left w:val="single" w:color="000000" w:sz="6" w:space="0"/>
              <w:bottom w:val="single" w:color="000000" w:sz="6" w:space="0"/>
              <w:right w:val="single" w:color="000000" w:sz="6" w:space="0"/>
            </w:tcBorders>
            <w:vAlign w:val="center"/>
          </w:tcPr>
          <w:p w14:paraId="247291EA">
            <w:pPr>
              <w:ind w:left="73" w:leftChars="35"/>
              <w:jc w:val="center"/>
              <w:rPr>
                <w:rFonts w:ascii="仿宋" w:hAnsi="仿宋" w:eastAsia="仿宋" w:cs="仿宋"/>
                <w:szCs w:val="21"/>
              </w:rPr>
            </w:pPr>
            <w:r>
              <w:rPr>
                <w:rFonts w:hint="eastAsia" w:ascii="仿宋" w:hAnsi="仿宋" w:eastAsia="仿宋" w:cs="仿宋"/>
                <w:szCs w:val="21"/>
              </w:rPr>
              <w:t>青年ILCA6（青年爱尔卡6级）场地赛</w:t>
            </w:r>
          </w:p>
          <w:p w14:paraId="5A5493F3">
            <w:pPr>
              <w:ind w:left="73" w:leftChars="35"/>
              <w:jc w:val="center"/>
              <w:rPr>
                <w:rFonts w:ascii="仿宋" w:hAnsi="仿宋" w:eastAsia="仿宋" w:cs="仿宋"/>
                <w:szCs w:val="21"/>
              </w:rPr>
            </w:pPr>
            <w:r>
              <w:rPr>
                <w:rFonts w:hint="eastAsia" w:ascii="仿宋" w:hAnsi="仿宋" w:eastAsia="仿宋" w:cs="仿宋"/>
                <w:szCs w:val="21"/>
              </w:rPr>
              <w:t>ILCA4（爱尔卡4级）场地赛</w:t>
            </w:r>
          </w:p>
          <w:p w14:paraId="79BCB83A">
            <w:pPr>
              <w:ind w:left="73" w:leftChars="35"/>
              <w:jc w:val="center"/>
              <w:rPr>
                <w:rFonts w:ascii="仿宋" w:hAnsi="仿宋" w:eastAsia="仿宋" w:cs="仿宋"/>
                <w:szCs w:val="21"/>
              </w:rPr>
            </w:pPr>
            <w:r>
              <w:rPr>
                <w:rFonts w:hint="eastAsia" w:ascii="仿宋" w:hAnsi="仿宋" w:eastAsia="仿宋" w:cs="仿宋"/>
                <w:szCs w:val="21"/>
              </w:rPr>
              <w:t>ILCA4（爱尔卡4级）长距离赛</w:t>
            </w:r>
          </w:p>
          <w:p w14:paraId="57F478F0">
            <w:pPr>
              <w:ind w:left="73" w:leftChars="35"/>
              <w:jc w:val="center"/>
              <w:rPr>
                <w:rFonts w:ascii="仿宋" w:hAnsi="仿宋" w:eastAsia="仿宋" w:cs="仿宋"/>
                <w:szCs w:val="21"/>
              </w:rPr>
            </w:pPr>
            <w:r>
              <w:rPr>
                <w:rFonts w:hint="eastAsia" w:ascii="仿宋" w:hAnsi="仿宋" w:eastAsia="仿宋" w:cs="仿宋"/>
                <w:szCs w:val="21"/>
              </w:rPr>
              <w:t>OP级场地赛</w:t>
            </w:r>
          </w:p>
        </w:tc>
      </w:tr>
      <w:tr w14:paraId="51B9B22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0" w:hRule="atLeast"/>
          <w:jc w:val="center"/>
        </w:trPr>
        <w:tc>
          <w:tcPr>
            <w:tcW w:w="578" w:type="dxa"/>
            <w:vMerge w:val="continue"/>
            <w:tcBorders>
              <w:top w:val="nil"/>
              <w:left w:val="single" w:color="000000" w:sz="6" w:space="0"/>
              <w:bottom w:val="single" w:color="000000" w:sz="6" w:space="0"/>
              <w:right w:val="single" w:color="000000" w:sz="6" w:space="0"/>
            </w:tcBorders>
            <w:vAlign w:val="center"/>
          </w:tcPr>
          <w:p w14:paraId="4F73B68A">
            <w:pPr>
              <w:pStyle w:val="41"/>
              <w:jc w:val="center"/>
              <w:rPr>
                <w:rFonts w:ascii="仿宋" w:hAnsi="仿宋" w:eastAsia="仿宋" w:cs="仿宋"/>
                <w:szCs w:val="21"/>
              </w:rPr>
            </w:pPr>
          </w:p>
        </w:tc>
        <w:tc>
          <w:tcPr>
            <w:tcW w:w="1418" w:type="dxa"/>
            <w:vMerge w:val="continue"/>
            <w:tcBorders>
              <w:top w:val="nil"/>
              <w:left w:val="single" w:color="000000" w:sz="6" w:space="0"/>
              <w:bottom w:val="single" w:color="000000" w:sz="6" w:space="0"/>
              <w:right w:val="single" w:color="000000" w:sz="6" w:space="0"/>
            </w:tcBorders>
            <w:vAlign w:val="center"/>
          </w:tcPr>
          <w:p w14:paraId="252EB7A8">
            <w:pPr>
              <w:pStyle w:val="41"/>
              <w:jc w:val="center"/>
              <w:rPr>
                <w:rFonts w:ascii="仿宋" w:hAnsi="仿宋" w:eastAsia="仿宋" w:cs="仿宋"/>
                <w:szCs w:val="21"/>
              </w:rPr>
            </w:pPr>
          </w:p>
        </w:tc>
        <w:tc>
          <w:tcPr>
            <w:tcW w:w="708" w:type="dxa"/>
            <w:vMerge w:val="continue"/>
            <w:tcBorders>
              <w:top w:val="nil"/>
              <w:left w:val="single" w:color="000000" w:sz="6" w:space="0"/>
              <w:bottom w:val="single" w:color="000000" w:sz="6" w:space="0"/>
              <w:right w:val="single" w:color="000000" w:sz="6" w:space="0"/>
            </w:tcBorders>
            <w:vAlign w:val="center"/>
          </w:tcPr>
          <w:p w14:paraId="0C48749D">
            <w:pPr>
              <w:pStyle w:val="41"/>
              <w:ind w:left="21" w:leftChars="10"/>
              <w:jc w:val="center"/>
              <w:rPr>
                <w:rFonts w:ascii="仿宋" w:hAnsi="仿宋" w:eastAsia="仿宋" w:cs="仿宋"/>
                <w:szCs w:val="21"/>
              </w:rPr>
            </w:pPr>
          </w:p>
        </w:tc>
        <w:tc>
          <w:tcPr>
            <w:tcW w:w="6064" w:type="dxa"/>
            <w:gridSpan w:val="2"/>
            <w:tcBorders>
              <w:top w:val="single" w:color="000000" w:sz="6" w:space="0"/>
              <w:left w:val="single" w:color="000000" w:sz="6" w:space="0"/>
              <w:bottom w:val="single" w:color="000000" w:sz="6" w:space="0"/>
              <w:right w:val="single" w:color="000000" w:sz="6" w:space="0"/>
            </w:tcBorders>
            <w:vAlign w:val="center"/>
          </w:tcPr>
          <w:p w14:paraId="52AE5093">
            <w:pPr>
              <w:ind w:left="73" w:leftChars="35"/>
              <w:jc w:val="center"/>
              <w:rPr>
                <w:rFonts w:ascii="仿宋" w:hAnsi="仿宋" w:eastAsia="仿宋" w:cs="仿宋"/>
                <w:szCs w:val="21"/>
              </w:rPr>
            </w:pPr>
            <w:r>
              <w:rPr>
                <w:rFonts w:ascii="仿宋" w:hAnsi="仿宋" w:eastAsia="仿宋" w:cs="仿宋"/>
                <w:szCs w:val="21"/>
              </w:rPr>
              <w:t>TOPPER5.3级（托珀5.3级）场地赛</w:t>
            </w:r>
          </w:p>
          <w:p w14:paraId="0455F152">
            <w:pPr>
              <w:ind w:left="73" w:leftChars="35"/>
              <w:jc w:val="center"/>
              <w:rPr>
                <w:rFonts w:ascii="仿宋" w:hAnsi="仿宋" w:eastAsia="仿宋" w:cs="仿宋"/>
                <w:szCs w:val="21"/>
              </w:rPr>
            </w:pPr>
            <w:r>
              <w:rPr>
                <w:rFonts w:ascii="仿宋" w:hAnsi="仿宋" w:eastAsia="仿宋" w:cs="仿宋"/>
                <w:szCs w:val="21"/>
              </w:rPr>
              <w:t>ILCA4（爱尔卡4级）混合团体赛</w:t>
            </w:r>
          </w:p>
          <w:p w14:paraId="70178910">
            <w:pPr>
              <w:ind w:left="73" w:leftChars="35"/>
              <w:jc w:val="center"/>
              <w:rPr>
                <w:rFonts w:ascii="仿宋" w:hAnsi="仿宋" w:eastAsia="仿宋" w:cs="仿宋"/>
                <w:szCs w:val="21"/>
              </w:rPr>
            </w:pPr>
            <w:r>
              <w:rPr>
                <w:rFonts w:ascii="仿宋" w:hAnsi="仿宋" w:eastAsia="仿宋" w:cs="仿宋"/>
                <w:szCs w:val="21"/>
              </w:rPr>
              <w:t>OP级混合团体赛</w:t>
            </w:r>
          </w:p>
          <w:p w14:paraId="51F22672">
            <w:pPr>
              <w:ind w:left="73" w:leftChars="35"/>
              <w:jc w:val="center"/>
              <w:rPr>
                <w:rFonts w:ascii="仿宋" w:hAnsi="仿宋" w:eastAsia="仿宋" w:cs="仿宋"/>
                <w:szCs w:val="21"/>
              </w:rPr>
            </w:pPr>
            <w:r>
              <w:rPr>
                <w:rFonts w:ascii="仿宋" w:hAnsi="仿宋" w:eastAsia="仿宋" w:cs="仿宋"/>
                <w:szCs w:val="21"/>
              </w:rPr>
              <w:t>诺卡拉15级场地赛</w:t>
            </w:r>
          </w:p>
        </w:tc>
      </w:tr>
      <w:tr w14:paraId="0403CA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0" w:hRule="atLeast"/>
          <w:jc w:val="center"/>
        </w:trPr>
        <w:tc>
          <w:tcPr>
            <w:tcW w:w="578" w:type="dxa"/>
            <w:vMerge w:val="restart"/>
            <w:tcBorders>
              <w:top w:val="single" w:color="000000" w:sz="6" w:space="0"/>
              <w:left w:val="single" w:color="000000" w:sz="6" w:space="0"/>
              <w:bottom w:val="nil"/>
              <w:right w:val="single" w:color="000000" w:sz="6" w:space="0"/>
            </w:tcBorders>
            <w:vAlign w:val="center"/>
          </w:tcPr>
          <w:p w14:paraId="5BF4CB6D">
            <w:pPr>
              <w:jc w:val="center"/>
              <w:rPr>
                <w:rFonts w:ascii="仿宋" w:hAnsi="仿宋" w:eastAsia="仿宋" w:cs="仿宋"/>
                <w:szCs w:val="21"/>
              </w:rPr>
            </w:pPr>
            <w:r>
              <w:rPr>
                <w:rFonts w:hint="eastAsia" w:ascii="仿宋" w:hAnsi="仿宋" w:eastAsia="仿宋" w:cs="仿宋"/>
                <w:szCs w:val="21"/>
              </w:rPr>
              <w:t>B</w:t>
            </w:r>
          </w:p>
        </w:tc>
        <w:tc>
          <w:tcPr>
            <w:tcW w:w="1418" w:type="dxa"/>
            <w:vMerge w:val="restart"/>
            <w:tcBorders>
              <w:top w:val="single" w:color="000000" w:sz="6" w:space="0"/>
              <w:left w:val="single" w:color="000000" w:sz="6" w:space="0"/>
              <w:bottom w:val="nil"/>
              <w:right w:val="single" w:color="000000" w:sz="6" w:space="0"/>
            </w:tcBorders>
            <w:vAlign w:val="center"/>
          </w:tcPr>
          <w:p w14:paraId="592CEA17">
            <w:pPr>
              <w:ind w:left="177"/>
              <w:jc w:val="center"/>
              <w:rPr>
                <w:rFonts w:ascii="仿宋" w:hAnsi="仿宋" w:eastAsia="仿宋" w:cs="仿宋"/>
                <w:szCs w:val="21"/>
              </w:rPr>
            </w:pPr>
            <w:r>
              <w:rPr>
                <w:rFonts w:hint="eastAsia" w:ascii="仿宋" w:hAnsi="仿宋" w:eastAsia="仿宋" w:cs="仿宋"/>
                <w:szCs w:val="21"/>
              </w:rPr>
              <w:t>20</w:t>
            </w:r>
            <w:r>
              <w:rPr>
                <w:rFonts w:ascii="仿宋" w:hAnsi="仿宋" w:eastAsia="仿宋" w:cs="仿宋"/>
                <w:szCs w:val="21"/>
              </w:rPr>
              <w:t>15.1.1</w:t>
            </w:r>
          </w:p>
          <w:p w14:paraId="2B1D57DD">
            <w:pPr>
              <w:ind w:left="177"/>
              <w:jc w:val="center"/>
              <w:rPr>
                <w:rFonts w:ascii="仿宋" w:hAnsi="仿宋" w:eastAsia="仿宋" w:cs="仿宋"/>
                <w:szCs w:val="21"/>
              </w:rPr>
            </w:pPr>
            <w:r>
              <w:rPr>
                <w:rFonts w:ascii="仿宋" w:hAnsi="仿宋" w:eastAsia="仿宋" w:cs="仿宋"/>
                <w:szCs w:val="21"/>
              </w:rPr>
              <w:t>-</w:t>
            </w:r>
            <w:r>
              <w:rPr>
                <w:rFonts w:hint="eastAsia" w:ascii="仿宋" w:hAnsi="仿宋" w:eastAsia="仿宋" w:cs="仿宋"/>
                <w:szCs w:val="21"/>
              </w:rPr>
              <w:t>20</w:t>
            </w:r>
            <w:r>
              <w:rPr>
                <w:rFonts w:ascii="仿宋" w:hAnsi="仿宋" w:eastAsia="仿宋" w:cs="仿宋"/>
                <w:szCs w:val="21"/>
              </w:rPr>
              <w:t>19.12.31</w:t>
            </w:r>
          </w:p>
        </w:tc>
        <w:tc>
          <w:tcPr>
            <w:tcW w:w="708" w:type="dxa"/>
            <w:vMerge w:val="restart"/>
            <w:tcBorders>
              <w:top w:val="single" w:color="000000" w:sz="6" w:space="0"/>
              <w:left w:val="single" w:color="000000" w:sz="6" w:space="0"/>
              <w:bottom w:val="nil"/>
              <w:right w:val="single" w:color="000000" w:sz="6" w:space="0"/>
            </w:tcBorders>
            <w:vAlign w:val="center"/>
          </w:tcPr>
          <w:p w14:paraId="1FC07528">
            <w:pPr>
              <w:spacing w:before="59" w:line="183" w:lineRule="auto"/>
              <w:ind w:left="21" w:leftChars="10"/>
              <w:jc w:val="center"/>
              <w:rPr>
                <w:rFonts w:ascii="仿宋" w:hAnsi="仿宋" w:eastAsia="仿宋" w:cs="仿宋"/>
                <w:szCs w:val="21"/>
              </w:rPr>
            </w:pPr>
            <w:r>
              <w:rPr>
                <w:rFonts w:hint="eastAsia" w:ascii="仿宋" w:hAnsi="仿宋" w:eastAsia="仿宋" w:cs="仿宋"/>
                <w:szCs w:val="21"/>
              </w:rPr>
              <w:t>3</w:t>
            </w:r>
          </w:p>
        </w:tc>
        <w:tc>
          <w:tcPr>
            <w:tcW w:w="3040" w:type="dxa"/>
            <w:tcBorders>
              <w:top w:val="single" w:color="000000" w:sz="6" w:space="0"/>
              <w:left w:val="single" w:color="000000" w:sz="6" w:space="0"/>
              <w:bottom w:val="single" w:color="000000" w:sz="6" w:space="0"/>
              <w:right w:val="single" w:color="000000" w:sz="6" w:space="0"/>
            </w:tcBorders>
            <w:vAlign w:val="center"/>
          </w:tcPr>
          <w:p w14:paraId="355B3807">
            <w:pPr>
              <w:ind w:left="73" w:leftChars="35"/>
              <w:jc w:val="center"/>
              <w:rPr>
                <w:rFonts w:ascii="仿宋" w:hAnsi="仿宋" w:eastAsia="仿宋" w:cs="仿宋"/>
                <w:szCs w:val="21"/>
              </w:rPr>
            </w:pPr>
            <w:r>
              <w:rPr>
                <w:rFonts w:ascii="仿宋" w:hAnsi="仿宋" w:eastAsia="仿宋" w:cs="仿宋"/>
                <w:szCs w:val="21"/>
              </w:rPr>
              <w:t>OP级场地赛</w:t>
            </w:r>
          </w:p>
        </w:tc>
        <w:tc>
          <w:tcPr>
            <w:tcW w:w="3024" w:type="dxa"/>
            <w:tcBorders>
              <w:top w:val="single" w:color="000000" w:sz="6" w:space="0"/>
              <w:left w:val="single" w:color="000000" w:sz="6" w:space="0"/>
              <w:bottom w:val="single" w:color="000000" w:sz="6" w:space="0"/>
              <w:right w:val="single" w:color="000000" w:sz="6" w:space="0"/>
            </w:tcBorders>
            <w:vAlign w:val="center"/>
          </w:tcPr>
          <w:p w14:paraId="07813CBD">
            <w:pPr>
              <w:ind w:left="73" w:leftChars="35"/>
              <w:jc w:val="center"/>
              <w:rPr>
                <w:rFonts w:ascii="仿宋" w:hAnsi="仿宋" w:eastAsia="仿宋" w:cs="仿宋"/>
                <w:szCs w:val="21"/>
              </w:rPr>
            </w:pPr>
            <w:r>
              <w:rPr>
                <w:rFonts w:ascii="仿宋" w:hAnsi="仿宋" w:eastAsia="仿宋" w:cs="仿宋"/>
                <w:szCs w:val="21"/>
              </w:rPr>
              <w:t>OP级场地赛</w:t>
            </w:r>
          </w:p>
        </w:tc>
      </w:tr>
      <w:tr w14:paraId="57433C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0" w:hRule="atLeast"/>
          <w:jc w:val="center"/>
        </w:trPr>
        <w:tc>
          <w:tcPr>
            <w:tcW w:w="578" w:type="dxa"/>
            <w:vMerge w:val="continue"/>
            <w:tcBorders>
              <w:top w:val="nil"/>
              <w:left w:val="single" w:color="000000" w:sz="6" w:space="0"/>
              <w:bottom w:val="single" w:color="000000" w:sz="6" w:space="0"/>
              <w:right w:val="single" w:color="000000" w:sz="6" w:space="0"/>
            </w:tcBorders>
            <w:vAlign w:val="center"/>
          </w:tcPr>
          <w:p w14:paraId="206DC83A">
            <w:pPr>
              <w:pStyle w:val="41"/>
              <w:jc w:val="center"/>
              <w:rPr>
                <w:rFonts w:ascii="仿宋" w:hAnsi="仿宋" w:eastAsia="仿宋" w:cs="仿宋"/>
                <w:szCs w:val="21"/>
              </w:rPr>
            </w:pPr>
          </w:p>
        </w:tc>
        <w:tc>
          <w:tcPr>
            <w:tcW w:w="1418" w:type="dxa"/>
            <w:vMerge w:val="continue"/>
            <w:tcBorders>
              <w:top w:val="nil"/>
              <w:left w:val="single" w:color="000000" w:sz="6" w:space="0"/>
              <w:bottom w:val="single" w:color="000000" w:sz="6" w:space="0"/>
              <w:right w:val="single" w:color="000000" w:sz="6" w:space="0"/>
            </w:tcBorders>
            <w:vAlign w:val="center"/>
          </w:tcPr>
          <w:p w14:paraId="2EA71F0E">
            <w:pPr>
              <w:pStyle w:val="41"/>
              <w:jc w:val="center"/>
              <w:rPr>
                <w:rFonts w:ascii="仿宋" w:hAnsi="仿宋" w:eastAsia="仿宋" w:cs="仿宋"/>
                <w:szCs w:val="21"/>
              </w:rPr>
            </w:pPr>
          </w:p>
        </w:tc>
        <w:tc>
          <w:tcPr>
            <w:tcW w:w="708" w:type="dxa"/>
            <w:vMerge w:val="continue"/>
            <w:tcBorders>
              <w:top w:val="nil"/>
              <w:left w:val="single" w:color="000000" w:sz="6" w:space="0"/>
              <w:bottom w:val="single" w:color="000000" w:sz="6" w:space="0"/>
              <w:right w:val="single" w:color="000000" w:sz="6" w:space="0"/>
            </w:tcBorders>
            <w:vAlign w:val="center"/>
          </w:tcPr>
          <w:p w14:paraId="5C5F2896">
            <w:pPr>
              <w:pStyle w:val="41"/>
              <w:ind w:left="21" w:leftChars="10"/>
              <w:jc w:val="center"/>
              <w:rPr>
                <w:rFonts w:ascii="仿宋" w:hAnsi="仿宋" w:eastAsia="仿宋" w:cs="仿宋"/>
                <w:szCs w:val="21"/>
              </w:rPr>
            </w:pPr>
          </w:p>
        </w:tc>
        <w:tc>
          <w:tcPr>
            <w:tcW w:w="6064" w:type="dxa"/>
            <w:gridSpan w:val="2"/>
            <w:tcBorders>
              <w:top w:val="single" w:color="000000" w:sz="6" w:space="0"/>
              <w:left w:val="single" w:color="000000" w:sz="6" w:space="0"/>
              <w:bottom w:val="single" w:color="000000" w:sz="6" w:space="0"/>
              <w:right w:val="single" w:color="000000" w:sz="6" w:space="0"/>
            </w:tcBorders>
            <w:vAlign w:val="center"/>
          </w:tcPr>
          <w:p w14:paraId="49A4EDCA">
            <w:pPr>
              <w:ind w:left="73" w:leftChars="35"/>
              <w:jc w:val="center"/>
              <w:rPr>
                <w:rFonts w:ascii="仿宋" w:hAnsi="仿宋" w:eastAsia="仿宋" w:cs="仿宋"/>
                <w:szCs w:val="21"/>
              </w:rPr>
            </w:pPr>
            <w:r>
              <w:rPr>
                <w:rFonts w:ascii="仿宋" w:hAnsi="仿宋" w:eastAsia="仿宋" w:cs="仿宋"/>
                <w:szCs w:val="21"/>
              </w:rPr>
              <w:t>OP级混合团体赛</w:t>
            </w:r>
          </w:p>
        </w:tc>
      </w:tr>
    </w:tbl>
    <w:p w14:paraId="4971AD23">
      <w:pPr>
        <w:adjustRightInd w:val="0"/>
        <w:snapToGrid w:val="0"/>
        <w:spacing w:line="460" w:lineRule="exact"/>
        <w:ind w:firstLine="560" w:firstLineChars="200"/>
        <w:rPr>
          <w:rFonts w:ascii="仿宋" w:hAnsi="仿宋" w:eastAsia="仿宋" w:cs="仿宋"/>
          <w:sz w:val="28"/>
          <w:szCs w:val="28"/>
        </w:rPr>
      </w:pPr>
      <w:r>
        <w:rPr>
          <w:rFonts w:hint="eastAsia" w:ascii="仿宋" w:hAnsi="仿宋" w:eastAsia="仿宋" w:cs="仿宋"/>
          <w:sz w:val="28"/>
          <w:szCs w:val="28"/>
        </w:rPr>
        <w:t>注：A组帆船OP级船型限2011.1.1-2014.12.31年龄段运动员参加比赛。</w:t>
      </w:r>
    </w:p>
    <w:p w14:paraId="290BF082">
      <w:pPr>
        <w:adjustRightInd w:val="0"/>
        <w:snapToGrid w:val="0"/>
        <w:spacing w:line="460" w:lineRule="exact"/>
        <w:ind w:firstLine="562" w:firstLineChars="200"/>
        <w:rPr>
          <w:rFonts w:ascii="仿宋" w:hAnsi="仿宋" w:eastAsia="仿宋" w:cs="仿宋"/>
          <w:b/>
          <w:sz w:val="28"/>
          <w:szCs w:val="28"/>
        </w:rPr>
      </w:pPr>
      <w:r>
        <w:rPr>
          <w:rFonts w:hint="eastAsia" w:ascii="仿宋" w:hAnsi="仿宋" w:eastAsia="仿宋" w:cs="仿宋"/>
          <w:b/>
          <w:sz w:val="28"/>
          <w:szCs w:val="28"/>
        </w:rPr>
        <w:t>八、参赛资格</w:t>
      </w:r>
    </w:p>
    <w:p w14:paraId="4A166811">
      <w:pPr>
        <w:spacing w:line="460" w:lineRule="exact"/>
        <w:ind w:firstLine="560" w:firstLineChars="200"/>
        <w:rPr>
          <w:rFonts w:ascii="仿宋" w:hAnsi="仿宋" w:eastAsia="仿宋" w:cs="仿宋"/>
          <w:sz w:val="28"/>
          <w:szCs w:val="28"/>
        </w:rPr>
      </w:pPr>
      <w:r>
        <w:rPr>
          <w:rFonts w:hint="eastAsia" w:ascii="仿宋" w:hAnsi="仿宋" w:eastAsia="仿宋" w:cs="仿宋"/>
          <w:sz w:val="28"/>
          <w:szCs w:val="28"/>
        </w:rPr>
        <w:t>（一）运动员须具有中国国籍（包括港、澳、台）。运动员须经医务部门检查，证明身体健康，适合参赛。</w:t>
      </w:r>
    </w:p>
    <w:p w14:paraId="58A340E5">
      <w:pPr>
        <w:spacing w:line="460" w:lineRule="exact"/>
        <w:ind w:firstLine="560" w:firstLineChars="200"/>
        <w:rPr>
          <w:rFonts w:ascii="仿宋" w:hAnsi="仿宋" w:eastAsia="仿宋" w:cs="仿宋"/>
          <w:sz w:val="28"/>
          <w:szCs w:val="28"/>
        </w:rPr>
      </w:pPr>
      <w:r>
        <w:rPr>
          <w:rFonts w:hint="eastAsia" w:ascii="仿宋" w:hAnsi="仿宋" w:eastAsia="仿宋" w:cs="仿宋"/>
          <w:sz w:val="28"/>
          <w:szCs w:val="28"/>
        </w:rPr>
        <w:t>（二）每名运动员只能代表一个单位（代表团）参赛；运动员不得跨越组别参赛。</w:t>
      </w:r>
    </w:p>
    <w:p w14:paraId="09FD808A">
      <w:pPr>
        <w:spacing w:line="460" w:lineRule="exact"/>
        <w:ind w:firstLine="560" w:firstLineChars="200"/>
        <w:rPr>
          <w:rFonts w:ascii="仿宋" w:hAnsi="仿宋" w:eastAsia="仿宋" w:cs="仿宋"/>
          <w:sz w:val="28"/>
          <w:szCs w:val="28"/>
        </w:rPr>
      </w:pPr>
      <w:bookmarkStart w:id="0" w:name="_Hlk94972236"/>
      <w:r>
        <w:rPr>
          <w:rFonts w:hint="eastAsia" w:ascii="仿宋" w:hAnsi="仿宋" w:eastAsia="仿宋" w:cs="仿宋"/>
          <w:sz w:val="28"/>
          <w:szCs w:val="28"/>
        </w:rPr>
        <w:t>（三）参赛运动员必须是2026年在本市有效注册的青少年运动员，并持本人当年有效的《上海市青少年运动员注册卡》参赛。</w:t>
      </w:r>
      <w:bookmarkEnd w:id="0"/>
    </w:p>
    <w:p w14:paraId="5D38DE76">
      <w:pPr>
        <w:spacing w:line="460" w:lineRule="exact"/>
        <w:ind w:firstLine="560" w:firstLineChars="200"/>
        <w:rPr>
          <w:rFonts w:ascii="仿宋" w:hAnsi="仿宋" w:eastAsia="仿宋" w:cs="仿宋"/>
          <w:sz w:val="28"/>
          <w:szCs w:val="28"/>
        </w:rPr>
      </w:pPr>
      <w:r>
        <w:rPr>
          <w:rFonts w:hint="eastAsia" w:ascii="仿宋" w:hAnsi="仿宋" w:eastAsia="仿宋" w:cs="仿宋"/>
          <w:sz w:val="28"/>
          <w:szCs w:val="28"/>
        </w:rPr>
        <w:t>（四）A组参赛运动员须参加2026年上海市帆船二线体能测试赛，并达到36分及以上方可参赛。报名参加测试赛，赛前办理因病请假且手续规范（二级甲等及以上医院病假单，经分管领导签字、区体育局盖章确认）的运动员，可获得市运会报名资格（每个代表队各组男、女限1个名额）。因全国比赛、集训原因测试赛请假并在规定时间内出具请假单的运动员及B组运动员可直接参加。</w:t>
      </w:r>
    </w:p>
    <w:p w14:paraId="69BB34C6">
      <w:pPr>
        <w:spacing w:line="460" w:lineRule="exact"/>
        <w:ind w:firstLine="560" w:firstLineChars="200"/>
        <w:rPr>
          <w:rFonts w:ascii="仿宋" w:hAnsi="仿宋" w:eastAsia="仿宋" w:cs="仿宋"/>
          <w:sz w:val="28"/>
          <w:szCs w:val="28"/>
        </w:rPr>
      </w:pPr>
      <w:r>
        <w:rPr>
          <w:rFonts w:hint="eastAsia" w:ascii="仿宋" w:hAnsi="仿宋" w:eastAsia="仿宋" w:cs="仿宋"/>
          <w:sz w:val="28"/>
          <w:szCs w:val="28"/>
        </w:rPr>
        <w:t>（五）按照市体育局《上海市体育后备人才输送认定办法》（沪体青〔2023〕72号）；，已被认定为向一线输送或等同于向一线输送的运动员均不得参加本届运动会。上述运动员的认定以本届运动会第二次报名前市体育局、市人力资源社会保障局有关文件及相关证明材料为准。</w:t>
      </w:r>
    </w:p>
    <w:p w14:paraId="4DE47CF3">
      <w:pPr>
        <w:spacing w:line="460" w:lineRule="exact"/>
        <w:ind w:firstLine="560" w:firstLineChars="200"/>
        <w:rPr>
          <w:rFonts w:ascii="仿宋" w:hAnsi="仿宋" w:eastAsia="仿宋" w:cs="仿宋"/>
          <w:sz w:val="28"/>
          <w:szCs w:val="28"/>
        </w:rPr>
      </w:pPr>
      <w:r>
        <w:rPr>
          <w:rFonts w:hint="eastAsia" w:ascii="仿宋" w:hAnsi="仿宋" w:eastAsia="仿宋" w:cs="仿宋"/>
          <w:sz w:val="28"/>
          <w:szCs w:val="28"/>
        </w:rPr>
        <w:t>（六）2026年已在外省市注册或代表外省市在国家体育总局注册的运动员不得参加比赛，经上海市体育局批准同意交流至外省市的运动员除外。</w:t>
      </w:r>
    </w:p>
    <w:p w14:paraId="519A5B21">
      <w:pPr>
        <w:numPr>
          <w:ilvl w:val="255"/>
          <w:numId w:val="0"/>
        </w:numPr>
        <w:spacing w:line="460" w:lineRule="exact"/>
        <w:ind w:firstLine="544" w:firstLineChars="200"/>
        <w:rPr>
          <w:rFonts w:ascii="仿宋" w:hAnsi="仿宋" w:eastAsia="仿宋" w:cs="仿宋"/>
          <w:spacing w:val="-4"/>
          <w:sz w:val="28"/>
          <w:szCs w:val="28"/>
        </w:rPr>
      </w:pPr>
      <w:r>
        <w:rPr>
          <w:rFonts w:hint="eastAsia" w:ascii="仿宋" w:hAnsi="仿宋" w:eastAsia="仿宋" w:cs="仿宋"/>
          <w:spacing w:val="-4"/>
          <w:sz w:val="28"/>
          <w:szCs w:val="28"/>
        </w:rPr>
        <w:t>（七）本市市属青少年高水平运动队在编运动员代表注册单位参赛。</w:t>
      </w:r>
    </w:p>
    <w:p w14:paraId="29A6ED90">
      <w:pPr>
        <w:numPr>
          <w:ilvl w:val="255"/>
          <w:numId w:val="0"/>
        </w:numPr>
        <w:spacing w:line="460" w:lineRule="exact"/>
        <w:ind w:firstLine="544" w:firstLineChars="200"/>
        <w:rPr>
          <w:rFonts w:ascii="仿宋" w:hAnsi="仿宋" w:eastAsia="仿宋" w:cs="仿宋"/>
          <w:sz w:val="28"/>
          <w:szCs w:val="28"/>
        </w:rPr>
      </w:pPr>
      <w:r>
        <w:rPr>
          <w:rFonts w:hint="eastAsia" w:ascii="仿宋" w:hAnsi="仿宋" w:eastAsia="仿宋" w:cs="仿宋"/>
          <w:spacing w:val="-4"/>
          <w:sz w:val="28"/>
          <w:szCs w:val="28"/>
        </w:rPr>
        <w:t>（八）</w:t>
      </w:r>
      <w:r>
        <w:rPr>
          <w:rFonts w:hint="eastAsia" w:ascii="仿宋" w:hAnsi="仿宋" w:eastAsia="仿宋" w:cs="仿宋"/>
          <w:sz w:val="28"/>
          <w:szCs w:val="28"/>
        </w:rPr>
        <w:t>经市教委、市体育局共同认定的上海市高中阶段学校引进优秀体育学生，于2026年7月10日前办理注册手续的，可直接参加本届运动会。</w:t>
      </w:r>
    </w:p>
    <w:p w14:paraId="03F4685C">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（九）本届市运会教练员须是2026年在本市有效注册（备案）的青训教练员，方可报名参赛。</w:t>
      </w:r>
    </w:p>
    <w:p w14:paraId="525449FE">
      <w:pPr>
        <w:adjustRightInd w:val="0"/>
        <w:snapToGrid w:val="0"/>
        <w:spacing w:line="460" w:lineRule="exact"/>
        <w:ind w:firstLine="562" w:firstLineChars="200"/>
        <w:rPr>
          <w:rFonts w:ascii="仿宋" w:hAnsi="仿宋" w:eastAsia="仿宋" w:cs="仿宋"/>
          <w:b/>
          <w:sz w:val="28"/>
          <w:szCs w:val="28"/>
        </w:rPr>
      </w:pPr>
      <w:r>
        <w:rPr>
          <w:rFonts w:hint="eastAsia" w:ascii="仿宋" w:hAnsi="仿宋" w:eastAsia="仿宋" w:cs="仿宋"/>
          <w:b/>
          <w:sz w:val="28"/>
          <w:szCs w:val="28"/>
        </w:rPr>
        <w:t>九、参加办法（参赛办法、报名办法）</w:t>
      </w:r>
    </w:p>
    <w:p w14:paraId="06A77470">
      <w:pPr>
        <w:overflowPunct w:val="0"/>
        <w:topLinePunct/>
        <w:spacing w:line="460" w:lineRule="exact"/>
        <w:ind w:firstLine="560" w:firstLineChars="200"/>
        <w:rPr>
          <w:rFonts w:ascii="仿宋" w:hAnsi="仿宋" w:eastAsia="仿宋" w:cs="仿宋"/>
          <w:sz w:val="28"/>
          <w:szCs w:val="28"/>
        </w:rPr>
      </w:pPr>
      <w:r>
        <w:rPr>
          <w:rFonts w:hint="eastAsia" w:ascii="仿宋" w:hAnsi="仿宋" w:eastAsia="仿宋" w:cs="仿宋"/>
          <w:sz w:val="28"/>
          <w:szCs w:val="28"/>
        </w:rPr>
        <w:t>（一）每个参赛单位可报领队1人，教练员1—4人。</w:t>
      </w:r>
    </w:p>
    <w:p w14:paraId="612A9406">
      <w:pPr>
        <w:overflowPunct w:val="0"/>
        <w:topLinePunct/>
        <w:spacing w:line="460" w:lineRule="exact"/>
        <w:ind w:firstLine="560" w:firstLineChars="200"/>
        <w:rPr>
          <w:rFonts w:ascii="仿宋" w:hAnsi="仿宋" w:eastAsia="仿宋" w:cs="仿宋"/>
          <w:sz w:val="28"/>
          <w:szCs w:val="28"/>
        </w:rPr>
      </w:pPr>
      <w:r>
        <w:rPr>
          <w:rFonts w:hint="eastAsia" w:ascii="仿宋" w:hAnsi="仿宋" w:eastAsia="仿宋" w:cs="仿宋"/>
          <w:sz w:val="28"/>
          <w:szCs w:val="28"/>
        </w:rPr>
        <w:t>（二）报级要求</w:t>
      </w:r>
    </w:p>
    <w:p w14:paraId="397D91E2">
      <w:pPr>
        <w:overflowPunct w:val="0"/>
        <w:topLinePunct/>
        <w:spacing w:line="460" w:lineRule="exact"/>
        <w:ind w:firstLine="560" w:firstLineChars="200"/>
        <w:rPr>
          <w:rFonts w:ascii="仿宋" w:hAnsi="仿宋" w:eastAsia="仿宋" w:cs="仿宋"/>
          <w:sz w:val="28"/>
          <w:szCs w:val="28"/>
        </w:rPr>
      </w:pPr>
      <w:r>
        <w:rPr>
          <w:rFonts w:ascii="仿宋" w:hAnsi="仿宋" w:eastAsia="仿宋" w:cs="仿宋"/>
          <w:sz w:val="28"/>
          <w:szCs w:val="28"/>
        </w:rPr>
        <w:t>每名运动员</w:t>
      </w:r>
      <w:r>
        <w:rPr>
          <w:rFonts w:hint="eastAsia" w:ascii="仿宋" w:hAnsi="仿宋" w:eastAsia="仿宋" w:cs="仿宋"/>
          <w:sz w:val="28"/>
          <w:szCs w:val="28"/>
        </w:rPr>
        <w:t>在</w:t>
      </w:r>
      <w:r>
        <w:rPr>
          <w:rFonts w:ascii="仿宋" w:hAnsi="仿宋" w:eastAsia="仿宋" w:cs="仿宋"/>
          <w:sz w:val="28"/>
          <w:szCs w:val="28"/>
        </w:rPr>
        <w:t>青年ILCA6（爱尔卡6级）、ILCA4（爱尔卡4级）、TOPPER5.3级（托珀5.3级）、OP级等4个级别中限报1个级别</w:t>
      </w:r>
      <w:r>
        <w:rPr>
          <w:rFonts w:hint="eastAsia" w:ascii="仿宋" w:hAnsi="仿宋" w:eastAsia="仿宋" w:cs="仿宋"/>
          <w:sz w:val="28"/>
          <w:szCs w:val="28"/>
        </w:rPr>
        <w:t>，另可兼报混合诺卡拉15级。</w:t>
      </w:r>
    </w:p>
    <w:p w14:paraId="21524D91">
      <w:pPr>
        <w:overflowPunct w:val="0"/>
        <w:topLinePunct/>
        <w:spacing w:line="460" w:lineRule="exact"/>
        <w:ind w:firstLine="560" w:firstLineChars="200"/>
        <w:rPr>
          <w:rFonts w:ascii="仿宋" w:hAnsi="仿宋" w:eastAsia="仿宋" w:cs="仿宋"/>
          <w:sz w:val="28"/>
          <w:szCs w:val="28"/>
        </w:rPr>
      </w:pPr>
      <w:r>
        <w:rPr>
          <w:rFonts w:hint="eastAsia" w:ascii="仿宋" w:hAnsi="仿宋" w:eastAsia="仿宋" w:cs="仿宋"/>
          <w:sz w:val="28"/>
          <w:szCs w:val="28"/>
        </w:rPr>
        <w:t>（三）报项要求</w:t>
      </w:r>
    </w:p>
    <w:p w14:paraId="6D766B92">
      <w:pPr>
        <w:overflowPunct w:val="0"/>
        <w:topLinePunct/>
        <w:spacing w:line="460" w:lineRule="exact"/>
        <w:ind w:firstLine="560" w:firstLineChars="200"/>
        <w:rPr>
          <w:rFonts w:ascii="仿宋" w:hAnsi="仿宋" w:eastAsia="仿宋" w:cs="仿宋"/>
          <w:sz w:val="28"/>
          <w:szCs w:val="28"/>
        </w:rPr>
      </w:pPr>
      <w:r>
        <w:rPr>
          <w:rFonts w:hint="eastAsia" w:ascii="仿宋" w:hAnsi="仿宋" w:eastAsia="仿宋" w:cs="仿宋"/>
          <w:sz w:val="28"/>
          <w:szCs w:val="28"/>
        </w:rPr>
        <w:t>1.场地赛、长距离赛</w:t>
      </w:r>
    </w:p>
    <w:p w14:paraId="7309AD35">
      <w:pPr>
        <w:overflowPunct w:val="0"/>
        <w:topLinePunct/>
        <w:spacing w:line="460" w:lineRule="exact"/>
        <w:ind w:firstLine="560" w:firstLineChars="200"/>
        <w:rPr>
          <w:rFonts w:ascii="仿宋" w:hAnsi="仿宋" w:eastAsia="仿宋" w:cs="仿宋"/>
          <w:sz w:val="28"/>
          <w:szCs w:val="28"/>
        </w:rPr>
      </w:pPr>
      <w:r>
        <w:rPr>
          <w:rFonts w:hint="eastAsia" w:ascii="仿宋" w:hAnsi="仿宋" w:eastAsia="仿宋" w:cs="仿宋"/>
          <w:sz w:val="28"/>
          <w:szCs w:val="28"/>
        </w:rPr>
        <w:t>每个小项可报</w:t>
      </w:r>
      <w:r>
        <w:rPr>
          <w:rFonts w:hint="eastAsia" w:ascii="仿宋" w:hAnsi="仿宋" w:eastAsia="仿宋" w:cs="仿宋"/>
          <w:sz w:val="28"/>
          <w:szCs w:val="28"/>
          <w:lang w:val="en-US" w:eastAsia="zh-CN"/>
        </w:rPr>
        <w:t>1-</w:t>
      </w:r>
      <w:r>
        <w:rPr>
          <w:rFonts w:hint="eastAsia" w:ascii="仿宋" w:hAnsi="仿宋" w:eastAsia="仿宋" w:cs="仿宋"/>
          <w:sz w:val="28"/>
          <w:szCs w:val="28"/>
        </w:rPr>
        <w:t>3条船。除混合诺卡拉15级外，每船1人；混合诺卡拉15级每船2人，由1男1女组成。其中报名ILCA4（爱尔卡4级）场地赛的运动员，</w:t>
      </w:r>
      <w:r>
        <w:rPr>
          <w:rFonts w:hint="eastAsia" w:ascii="仿宋" w:hAnsi="仿宋" w:eastAsia="仿宋" w:cs="仿宋"/>
          <w:sz w:val="28"/>
          <w:szCs w:val="28"/>
          <w:lang w:eastAsia="zh-CN"/>
        </w:rPr>
        <w:t>必</w:t>
      </w:r>
      <w:r>
        <w:rPr>
          <w:rFonts w:hint="eastAsia" w:ascii="仿宋" w:hAnsi="仿宋" w:eastAsia="仿宋" w:cs="仿宋"/>
          <w:sz w:val="28"/>
          <w:szCs w:val="28"/>
        </w:rPr>
        <w:t>须兼项ILC</w:t>
      </w:r>
      <w:bookmarkStart w:id="2" w:name="_GoBack"/>
      <w:bookmarkEnd w:id="2"/>
      <w:r>
        <w:rPr>
          <w:rFonts w:hint="eastAsia" w:ascii="仿宋" w:hAnsi="仿宋" w:eastAsia="仿宋" w:cs="仿宋"/>
          <w:sz w:val="28"/>
          <w:szCs w:val="28"/>
        </w:rPr>
        <w:t>A4（爱尔卡4级）长距离赛。</w:t>
      </w:r>
    </w:p>
    <w:p w14:paraId="5546BD1E">
      <w:pPr>
        <w:overflowPunct w:val="0"/>
        <w:topLinePunct/>
        <w:spacing w:line="460" w:lineRule="exact"/>
        <w:ind w:firstLine="560" w:firstLineChars="200"/>
        <w:rPr>
          <w:rFonts w:ascii="仿宋" w:hAnsi="仿宋" w:eastAsia="仿宋" w:cs="仿宋"/>
          <w:sz w:val="28"/>
          <w:szCs w:val="28"/>
        </w:rPr>
      </w:pPr>
      <w:r>
        <w:rPr>
          <w:rFonts w:hint="eastAsia" w:ascii="仿宋" w:hAnsi="仿宋" w:eastAsia="仿宋" w:cs="仿宋"/>
          <w:sz w:val="28"/>
          <w:szCs w:val="28"/>
        </w:rPr>
        <w:t>2.混合团体赛</w:t>
      </w:r>
    </w:p>
    <w:p w14:paraId="15D21346">
      <w:pPr>
        <w:overflowPunct w:val="0"/>
        <w:topLinePunct/>
        <w:spacing w:line="460" w:lineRule="exact"/>
        <w:ind w:firstLine="560" w:firstLineChars="200"/>
        <w:rPr>
          <w:rFonts w:ascii="仿宋" w:hAnsi="仿宋" w:eastAsia="仿宋" w:cs="仿宋"/>
          <w:sz w:val="28"/>
          <w:szCs w:val="28"/>
        </w:rPr>
      </w:pPr>
      <w:r>
        <w:rPr>
          <w:rFonts w:hint="eastAsia" w:ascii="仿宋" w:hAnsi="仿宋" w:eastAsia="仿宋" w:cs="仿宋"/>
          <w:sz w:val="28"/>
          <w:szCs w:val="28"/>
        </w:rPr>
        <w:t>混合团体赛无须单独报项，团体总分由相应组别男子、女子场地赛中排名最好船只分数相加后得出。其中ILCA4（爱尔卡4级）各取排名最好的1条船，OP级混合团体赛各取排名最好的2条船。</w:t>
      </w:r>
    </w:p>
    <w:p w14:paraId="373A2312">
      <w:pPr>
        <w:adjustRightInd w:val="0"/>
        <w:snapToGrid w:val="0"/>
        <w:spacing w:line="460" w:lineRule="exact"/>
        <w:ind w:firstLine="561"/>
        <w:rPr>
          <w:rFonts w:ascii="仿宋" w:hAnsi="仿宋" w:eastAsia="仿宋" w:cs="仿宋"/>
          <w:sz w:val="28"/>
          <w:szCs w:val="28"/>
        </w:rPr>
      </w:pPr>
      <w:r>
        <w:rPr>
          <w:rFonts w:hint="eastAsia" w:ascii="仿宋" w:hAnsi="仿宋" w:eastAsia="仿宋" w:cs="仿宋"/>
          <w:sz w:val="28"/>
          <w:szCs w:val="28"/>
        </w:rPr>
        <w:t>（四）交流运动员报名人数不超过该组别实际报名人数30%（按四舍五入计算）。</w:t>
      </w:r>
    </w:p>
    <w:p w14:paraId="4C603DAF">
      <w:pPr>
        <w:adjustRightInd w:val="0"/>
        <w:snapToGrid w:val="0"/>
        <w:spacing w:line="460" w:lineRule="exact"/>
        <w:ind w:firstLine="560" w:firstLineChars="200"/>
        <w:rPr>
          <w:rFonts w:ascii="仿宋" w:hAnsi="仿宋" w:eastAsia="仿宋" w:cs="仿宋"/>
          <w:sz w:val="28"/>
          <w:szCs w:val="28"/>
        </w:rPr>
      </w:pPr>
      <w:r>
        <w:rPr>
          <w:rFonts w:hint="eastAsia" w:ascii="仿宋" w:hAnsi="仿宋" w:eastAsia="仿宋" w:cs="仿宋"/>
          <w:sz w:val="28"/>
          <w:szCs w:val="28"/>
        </w:rPr>
        <w:t>（五）参赛单位通过大会指定的网站www.aijingsai.cn（上海青少年体育赛事网）进行网上报名。并在规定时间内将导出打印的报名表加盖公章后，一式两份报大会组委会竞赛部（地址：徐汇区零陵路800号8楼，竞赛部，31211118）。</w:t>
      </w:r>
    </w:p>
    <w:p w14:paraId="232B3BBE">
      <w:pPr>
        <w:adjustRightInd w:val="0"/>
        <w:snapToGrid w:val="0"/>
        <w:spacing w:line="460" w:lineRule="exact"/>
        <w:ind w:firstLine="560" w:firstLineChars="200"/>
        <w:rPr>
          <w:rFonts w:ascii="仿宋" w:hAnsi="仿宋" w:eastAsia="仿宋" w:cs="仿宋"/>
          <w:sz w:val="28"/>
          <w:szCs w:val="28"/>
        </w:rPr>
      </w:pPr>
      <w:r>
        <w:rPr>
          <w:rFonts w:hint="eastAsia" w:ascii="仿宋" w:hAnsi="仿宋" w:eastAsia="仿宋" w:cs="仿宋"/>
          <w:sz w:val="28"/>
          <w:szCs w:val="28"/>
        </w:rPr>
        <w:t>（六）各参赛单位须为参赛运动员办理人身意外伤害保险。</w:t>
      </w:r>
    </w:p>
    <w:p w14:paraId="4C9FA158">
      <w:pPr>
        <w:adjustRightInd w:val="0"/>
        <w:snapToGrid w:val="0"/>
        <w:spacing w:line="460" w:lineRule="exact"/>
        <w:ind w:firstLine="562" w:firstLineChars="200"/>
        <w:rPr>
          <w:rFonts w:ascii="仿宋" w:hAnsi="仿宋" w:eastAsia="仿宋" w:cs="仿宋"/>
          <w:b/>
          <w:sz w:val="28"/>
          <w:szCs w:val="28"/>
        </w:rPr>
      </w:pPr>
      <w:r>
        <w:rPr>
          <w:rFonts w:hint="eastAsia" w:ascii="仿宋" w:hAnsi="仿宋" w:eastAsia="仿宋" w:cs="仿宋"/>
          <w:b/>
          <w:sz w:val="28"/>
          <w:szCs w:val="28"/>
        </w:rPr>
        <w:t>十、竞赛办法</w:t>
      </w:r>
    </w:p>
    <w:p w14:paraId="22FD8516">
      <w:pPr>
        <w:adjustRightInd w:val="0"/>
        <w:snapToGrid w:val="0"/>
        <w:spacing w:line="460" w:lineRule="exact"/>
        <w:ind w:firstLine="560" w:firstLineChars="200"/>
        <w:rPr>
          <w:rFonts w:ascii="仿宋" w:hAnsi="仿宋" w:eastAsia="仿宋" w:cs="仿宋"/>
          <w:sz w:val="28"/>
          <w:szCs w:val="28"/>
        </w:rPr>
      </w:pPr>
      <w:r>
        <w:rPr>
          <w:rFonts w:hint="eastAsia" w:ascii="仿宋" w:hAnsi="仿宋" w:eastAsia="仿宋" w:cs="仿宋"/>
          <w:sz w:val="28"/>
          <w:szCs w:val="28"/>
        </w:rPr>
        <w:t>（一）比赛执行《帆船竞赛规则》（RRS）中所定义的规则。若有因规则语言版本引起的争议，以英文版本的内容为主。最终竞赛实施细节见本次比赛《航行细则》。</w:t>
      </w:r>
    </w:p>
    <w:p w14:paraId="72E767D8">
      <w:pPr>
        <w:adjustRightInd w:val="0"/>
        <w:snapToGrid w:val="0"/>
        <w:spacing w:line="460" w:lineRule="exact"/>
        <w:ind w:firstLine="564"/>
        <w:rPr>
          <w:rFonts w:ascii="仿宋" w:hAnsi="仿宋" w:eastAsia="仿宋" w:cs="仿宋"/>
          <w:sz w:val="28"/>
          <w:szCs w:val="28"/>
        </w:rPr>
      </w:pPr>
      <w:r>
        <w:rPr>
          <w:rFonts w:hint="eastAsia" w:ascii="仿宋" w:hAnsi="仿宋" w:eastAsia="仿宋" w:cs="仿宋"/>
          <w:sz w:val="28"/>
          <w:szCs w:val="28"/>
        </w:rPr>
        <w:t>（二）所有器材须符合各级别协会颁发的最新级别规则，并在赛前经技术委员会检查合格后方可参赛。TOPPER5.3级（托珀5.3级）场地赛将统一采用5.3㎡的帆参赛。</w:t>
      </w:r>
    </w:p>
    <w:p w14:paraId="3287B4EB">
      <w:pPr>
        <w:adjustRightInd w:val="0"/>
        <w:snapToGrid w:val="0"/>
        <w:spacing w:line="460" w:lineRule="exact"/>
        <w:ind w:firstLine="564"/>
        <w:rPr>
          <w:rFonts w:ascii="仿宋" w:hAnsi="仿宋" w:eastAsia="仿宋" w:cs="仿宋"/>
          <w:sz w:val="28"/>
          <w:szCs w:val="28"/>
        </w:rPr>
      </w:pPr>
      <w:r>
        <w:rPr>
          <w:rFonts w:hint="eastAsia" w:ascii="仿宋" w:hAnsi="仿宋" w:eastAsia="仿宋" w:cs="仿宋"/>
          <w:sz w:val="28"/>
          <w:szCs w:val="28"/>
        </w:rPr>
        <w:t>（三）各小项最后一个竞赛日14:00之后，不再发预告信号。</w:t>
      </w:r>
    </w:p>
    <w:p w14:paraId="1B346122">
      <w:pPr>
        <w:adjustRightInd w:val="0"/>
        <w:snapToGrid w:val="0"/>
        <w:spacing w:line="460" w:lineRule="exact"/>
        <w:ind w:firstLine="564"/>
        <w:rPr>
          <w:rFonts w:ascii="仿宋" w:hAnsi="仿宋" w:eastAsia="仿宋" w:cs="仿宋"/>
          <w:sz w:val="28"/>
          <w:szCs w:val="28"/>
        </w:rPr>
      </w:pPr>
      <w:r>
        <w:rPr>
          <w:rFonts w:hint="eastAsia" w:ascii="仿宋" w:hAnsi="仿宋" w:eastAsia="仿宋" w:cs="仿宋"/>
          <w:sz w:val="28"/>
          <w:szCs w:val="28"/>
        </w:rPr>
        <w:t>（四）对于团体赛，团体赛总分低者列前。船数不足的参赛单位，不计入团体赛成绩。如果团体总分出现平分，则按A组女子级别场地赛的分数少者列前。如仍有平分，则以A组女子级别场地赛最后一轮的分数打破平分，分数小者列前。如仍未打破，将依次向上一轮类推。</w:t>
      </w:r>
    </w:p>
    <w:p w14:paraId="437F0CF3">
      <w:pPr>
        <w:adjustRightInd w:val="0"/>
        <w:snapToGrid w:val="0"/>
        <w:spacing w:line="460" w:lineRule="exact"/>
        <w:ind w:firstLine="564"/>
        <w:rPr>
          <w:rFonts w:ascii="仿宋" w:hAnsi="仿宋" w:eastAsia="仿宋" w:cs="仿宋"/>
          <w:sz w:val="28"/>
          <w:szCs w:val="28"/>
        </w:rPr>
      </w:pPr>
      <w:r>
        <w:rPr>
          <w:rFonts w:hint="eastAsia" w:ascii="仿宋" w:hAnsi="仿宋" w:eastAsia="仿宋" w:cs="仿宋"/>
          <w:sz w:val="28"/>
          <w:szCs w:val="28"/>
        </w:rPr>
        <w:t>（五）运动员必须穿着符合标准的救生衣进行比赛，违者将根据航行细则的标准惩罚进行惩罚。</w:t>
      </w:r>
    </w:p>
    <w:p w14:paraId="7C209792">
      <w:pPr>
        <w:adjustRightInd w:val="0"/>
        <w:snapToGrid w:val="0"/>
        <w:spacing w:line="460" w:lineRule="exact"/>
        <w:ind w:firstLine="564"/>
        <w:rPr>
          <w:rFonts w:ascii="仿宋" w:hAnsi="仿宋" w:eastAsia="仿宋" w:cs="仿宋"/>
          <w:sz w:val="28"/>
          <w:szCs w:val="28"/>
        </w:rPr>
      </w:pPr>
      <w:r>
        <w:rPr>
          <w:rFonts w:hint="eastAsia" w:ascii="仿宋" w:hAnsi="仿宋" w:eastAsia="仿宋" w:cs="仿宋"/>
          <w:sz w:val="28"/>
          <w:szCs w:val="28"/>
        </w:rPr>
        <w:t>（六）关于无故弃权的规定：</w:t>
      </w:r>
    </w:p>
    <w:p w14:paraId="0963BF51">
      <w:pPr>
        <w:adjustRightInd w:val="0"/>
        <w:snapToGrid w:val="0"/>
        <w:spacing w:line="460" w:lineRule="exact"/>
        <w:ind w:firstLine="564"/>
        <w:rPr>
          <w:rFonts w:ascii="仿宋" w:hAnsi="仿宋" w:eastAsia="仿宋" w:cs="仿宋"/>
          <w:sz w:val="28"/>
          <w:szCs w:val="28"/>
        </w:rPr>
      </w:pPr>
      <w:r>
        <w:rPr>
          <w:rFonts w:hint="eastAsia" w:ascii="仿宋" w:hAnsi="仿宋" w:eastAsia="仿宋" w:cs="仿宋"/>
          <w:sz w:val="28"/>
          <w:szCs w:val="28"/>
        </w:rPr>
        <w:t>运动员在报名后，因伤病不能参赛的，赛前应出具二级甲等及以上医院病假单（因事不能参赛的，则出具书面说明），经区体育局盖章，分管领导签字确认，否则将被认定为无故弃权（证明材料须在比赛后三天内交竞赛委员会）。</w:t>
      </w:r>
    </w:p>
    <w:p w14:paraId="52AF42E4">
      <w:pPr>
        <w:spacing w:line="460" w:lineRule="exact"/>
        <w:ind w:firstLine="560" w:firstLineChars="200"/>
        <w:rPr>
          <w:rFonts w:ascii="仿宋" w:hAnsi="仿宋" w:eastAsia="仿宋" w:cs="仿宋"/>
          <w:sz w:val="28"/>
          <w:szCs w:val="28"/>
        </w:rPr>
      </w:pPr>
      <w:r>
        <w:rPr>
          <w:rFonts w:hint="eastAsia" w:ascii="仿宋" w:hAnsi="仿宋" w:eastAsia="仿宋" w:cs="仿宋"/>
          <w:sz w:val="28"/>
          <w:szCs w:val="28"/>
        </w:rPr>
        <w:t>（七）各小项实际参赛（以下水参加一轮竞赛为依据）少于2个参赛单位3条船，均不安排比赛。</w:t>
      </w:r>
    </w:p>
    <w:p w14:paraId="28A61513">
      <w:pPr>
        <w:adjustRightInd w:val="0"/>
        <w:snapToGrid w:val="0"/>
        <w:spacing w:line="46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十一、录取名次、计牌计分和奖励办法</w:t>
      </w:r>
    </w:p>
    <w:p w14:paraId="06833121">
      <w:pPr>
        <w:adjustRightInd w:val="0"/>
        <w:snapToGrid w:val="0"/>
        <w:spacing w:line="460" w:lineRule="exact"/>
        <w:ind w:firstLine="560" w:firstLineChars="200"/>
        <w:rPr>
          <w:rFonts w:ascii="仿宋" w:hAnsi="仿宋" w:eastAsia="仿宋" w:cs="仿宋"/>
          <w:sz w:val="28"/>
          <w:szCs w:val="28"/>
        </w:rPr>
      </w:pPr>
      <w:r>
        <w:rPr>
          <w:rFonts w:hint="eastAsia" w:ascii="仿宋" w:hAnsi="仿宋" w:eastAsia="仿宋" w:cs="仿宋"/>
          <w:sz w:val="28"/>
          <w:szCs w:val="28"/>
        </w:rPr>
        <w:t>（一）各小项</w:t>
      </w:r>
      <w:r>
        <w:rPr>
          <w:rFonts w:hint="eastAsia" w:ascii="仿宋" w:hAnsi="仿宋" w:eastAsia="仿宋" w:cs="仿宋"/>
          <w:bCs/>
          <w:sz w:val="28"/>
          <w:szCs w:val="28"/>
        </w:rPr>
        <w:t>录取前8名，不足8船参赛的，则按实际参赛船数录取名次。</w:t>
      </w:r>
    </w:p>
    <w:p w14:paraId="72006D71">
      <w:pPr>
        <w:adjustRightInd w:val="0"/>
        <w:snapToGrid w:val="0"/>
        <w:spacing w:line="460" w:lineRule="exact"/>
        <w:ind w:firstLine="560" w:firstLineChars="200"/>
        <w:rPr>
          <w:rFonts w:ascii="仿宋" w:hAnsi="仿宋" w:eastAsia="仿宋" w:cs="仿宋"/>
          <w:bCs/>
          <w:spacing w:val="-4"/>
          <w:sz w:val="28"/>
          <w:szCs w:val="28"/>
        </w:rPr>
      </w:pPr>
      <w:r>
        <w:rPr>
          <w:rFonts w:hint="eastAsia" w:ascii="仿宋" w:hAnsi="仿宋" w:eastAsia="仿宋" w:cs="仿宋"/>
          <w:sz w:val="28"/>
          <w:szCs w:val="28"/>
        </w:rPr>
        <w:t>（二）</w:t>
      </w:r>
      <w:r>
        <w:rPr>
          <w:rFonts w:hint="eastAsia" w:ascii="仿宋" w:hAnsi="仿宋" w:eastAsia="仿宋" w:cs="仿宋"/>
          <w:bCs/>
          <w:sz w:val="28"/>
          <w:szCs w:val="28"/>
        </w:rPr>
        <w:t>前3名依次按1金、1银、1铜计牌，前8名依次按11、9、8、7、6、5、4、3计分</w:t>
      </w:r>
      <w:r>
        <w:rPr>
          <w:rFonts w:hint="eastAsia" w:ascii="仿宋" w:hAnsi="仿宋" w:eastAsia="仿宋" w:cs="仿宋"/>
          <w:bCs/>
          <w:spacing w:val="-4"/>
          <w:sz w:val="28"/>
          <w:szCs w:val="28"/>
        </w:rPr>
        <w:t>。</w:t>
      </w:r>
    </w:p>
    <w:p w14:paraId="15737992">
      <w:pPr>
        <w:adjustRightInd w:val="0"/>
        <w:snapToGrid w:val="0"/>
        <w:spacing w:line="460" w:lineRule="exact"/>
        <w:ind w:firstLine="560" w:firstLineChars="200"/>
        <w:rPr>
          <w:rFonts w:ascii="仿宋" w:hAnsi="仿宋" w:eastAsia="仿宋" w:cs="仿宋"/>
          <w:sz w:val="28"/>
          <w:szCs w:val="28"/>
        </w:rPr>
      </w:pPr>
      <w:r>
        <w:rPr>
          <w:rFonts w:hint="eastAsia" w:ascii="仿宋" w:hAnsi="仿宋" w:eastAsia="仿宋" w:cs="仿宋"/>
          <w:sz w:val="28"/>
          <w:szCs w:val="28"/>
        </w:rPr>
        <w:t>（三）开展“体育道德风尚奖”评选活动，按照本届运动会竞赛规程总则的有关规定执行。</w:t>
      </w:r>
    </w:p>
    <w:p w14:paraId="0A0B90B6">
      <w:pPr>
        <w:adjustRightInd w:val="0"/>
        <w:snapToGrid w:val="0"/>
        <w:spacing w:line="46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十二、申诉和纪律</w:t>
      </w:r>
    </w:p>
    <w:p w14:paraId="78BB5235">
      <w:pPr>
        <w:adjustRightInd w:val="0"/>
        <w:snapToGrid w:val="0"/>
        <w:spacing w:line="460" w:lineRule="exact"/>
        <w:ind w:firstLine="560" w:firstLineChars="200"/>
        <w:rPr>
          <w:rFonts w:ascii="仿宋" w:hAnsi="仿宋" w:eastAsia="仿宋" w:cs="仿宋"/>
          <w:sz w:val="28"/>
          <w:szCs w:val="28"/>
        </w:rPr>
      </w:pPr>
      <w:r>
        <w:rPr>
          <w:rFonts w:hint="eastAsia" w:ascii="仿宋" w:hAnsi="仿宋" w:eastAsia="仿宋" w:cs="仿宋"/>
          <w:sz w:val="28"/>
          <w:szCs w:val="28"/>
        </w:rPr>
        <w:t>（一）申诉</w:t>
      </w:r>
    </w:p>
    <w:p w14:paraId="454DAF05">
      <w:pPr>
        <w:adjustRightInd w:val="0"/>
        <w:snapToGrid w:val="0"/>
        <w:spacing w:line="460" w:lineRule="exact"/>
        <w:ind w:firstLine="560" w:firstLineChars="200"/>
        <w:rPr>
          <w:rFonts w:ascii="仿宋" w:hAnsi="仿宋" w:eastAsia="仿宋" w:cs="仿宋"/>
          <w:sz w:val="28"/>
          <w:szCs w:val="28"/>
        </w:rPr>
      </w:pPr>
      <w:r>
        <w:rPr>
          <w:rFonts w:hint="eastAsia" w:ascii="仿宋" w:hAnsi="仿宋" w:eastAsia="仿宋" w:cs="仿宋"/>
          <w:sz w:val="28"/>
          <w:szCs w:val="28"/>
        </w:rPr>
        <w:t>按世界帆联最新帆船竞赛规则执行。</w:t>
      </w:r>
    </w:p>
    <w:p w14:paraId="50401EB8">
      <w:pPr>
        <w:adjustRightInd w:val="0"/>
        <w:snapToGrid w:val="0"/>
        <w:spacing w:line="460" w:lineRule="exact"/>
        <w:ind w:firstLine="560" w:firstLineChars="200"/>
        <w:rPr>
          <w:rFonts w:ascii="仿宋" w:hAnsi="仿宋" w:eastAsia="仿宋" w:cs="仿宋"/>
          <w:sz w:val="28"/>
          <w:szCs w:val="28"/>
        </w:rPr>
      </w:pPr>
      <w:r>
        <w:rPr>
          <w:rFonts w:hint="eastAsia" w:ascii="仿宋" w:hAnsi="仿宋" w:eastAsia="仿宋" w:cs="仿宋"/>
          <w:sz w:val="28"/>
          <w:szCs w:val="28"/>
        </w:rPr>
        <w:t>（二）纪律</w:t>
      </w:r>
    </w:p>
    <w:p w14:paraId="46E752C2">
      <w:pPr>
        <w:adjustRightInd w:val="0"/>
        <w:snapToGrid w:val="0"/>
        <w:spacing w:line="460" w:lineRule="exact"/>
        <w:ind w:firstLine="560" w:firstLineChars="200"/>
        <w:rPr>
          <w:rFonts w:ascii="仿宋" w:hAnsi="仿宋" w:eastAsia="仿宋" w:cs="仿宋"/>
          <w:sz w:val="28"/>
          <w:szCs w:val="28"/>
        </w:rPr>
      </w:pPr>
      <w:r>
        <w:rPr>
          <w:rFonts w:hint="eastAsia" w:ascii="仿宋" w:hAnsi="仿宋" w:eastAsia="仿宋" w:cs="仿宋"/>
          <w:sz w:val="28"/>
          <w:szCs w:val="28"/>
        </w:rPr>
        <w:t>对运动员、教练员、裁判员和体育赛事组织者违反本届运动会赛风赛纪情形，一经查实，按照《上海市体育赛事活动赛风赛纪管理实施细则》及市运会组委会有关规定处罚。对发生任何兴奋剂违规事件的，按照国家体育总局、上海市体育局反兴奋剂相关规定进行处罚。</w:t>
      </w:r>
    </w:p>
    <w:p w14:paraId="335EB51E">
      <w:pPr>
        <w:adjustRightInd w:val="0"/>
        <w:snapToGrid w:val="0"/>
        <w:spacing w:line="46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十三、技术官员</w:t>
      </w:r>
    </w:p>
    <w:p w14:paraId="5357152A">
      <w:pPr>
        <w:adjustRightInd w:val="0"/>
        <w:snapToGrid w:val="0"/>
        <w:spacing w:line="460" w:lineRule="exact"/>
        <w:ind w:firstLine="560" w:firstLineChars="200"/>
        <w:rPr>
          <w:rFonts w:ascii="仿宋" w:hAnsi="仿宋" w:eastAsia="仿宋" w:cs="仿宋"/>
          <w:sz w:val="28"/>
          <w:szCs w:val="28"/>
        </w:rPr>
      </w:pPr>
      <w:r>
        <w:rPr>
          <w:rFonts w:hint="eastAsia" w:ascii="仿宋" w:hAnsi="仿宋" w:eastAsia="仿宋" w:cs="仿宋"/>
          <w:sz w:val="28"/>
          <w:szCs w:val="28"/>
        </w:rPr>
        <w:t>按照本届运动会竞赛规程总则的有关规定执行。</w:t>
      </w:r>
    </w:p>
    <w:p w14:paraId="4ED3E138">
      <w:pPr>
        <w:adjustRightInd w:val="0"/>
        <w:snapToGrid w:val="0"/>
        <w:spacing w:line="460" w:lineRule="exact"/>
        <w:ind w:firstLine="562" w:firstLineChars="200"/>
        <w:rPr>
          <w:rFonts w:ascii="仿宋" w:hAnsi="仿宋" w:eastAsia="仿宋" w:cs="仿宋"/>
          <w:b/>
          <w:sz w:val="28"/>
          <w:szCs w:val="28"/>
        </w:rPr>
      </w:pPr>
      <w:r>
        <w:rPr>
          <w:rFonts w:hint="eastAsia" w:ascii="仿宋" w:hAnsi="仿宋" w:eastAsia="仿宋" w:cs="仿宋"/>
          <w:b/>
          <w:sz w:val="28"/>
          <w:szCs w:val="28"/>
        </w:rPr>
        <w:t>十四、运动员技术等级授予</w:t>
      </w:r>
    </w:p>
    <w:p w14:paraId="31740FF0">
      <w:pPr>
        <w:adjustRightInd w:val="0"/>
        <w:snapToGrid w:val="0"/>
        <w:spacing w:line="460" w:lineRule="exact"/>
        <w:ind w:firstLine="560" w:firstLineChars="200"/>
        <w:rPr>
          <w:rFonts w:ascii="仿宋" w:hAnsi="仿宋" w:eastAsia="仿宋" w:cs="仿宋"/>
          <w:b/>
          <w:sz w:val="28"/>
          <w:szCs w:val="28"/>
        </w:rPr>
      </w:pPr>
      <w:r>
        <w:rPr>
          <w:rFonts w:hint="eastAsia" w:ascii="仿宋" w:hAnsi="仿宋" w:eastAsia="仿宋" w:cs="仿宋"/>
          <w:bCs/>
          <w:sz w:val="28"/>
          <w:szCs w:val="28"/>
        </w:rPr>
        <w:t>本次比赛为2026年国家体育总局公布的可授予运动员技术等级称号赛事，本次比赛A组：男子青年ILCA6（青年爱尔卡6级）场地赛、女子青年ILCA6（青年爱尔卡6级）场地赛、男子ILCA4（爱尔卡4级）场地赛、女子ILCA4（爱尔卡4级）场地赛、男子OP级场地赛、女子OP级场地赛、混合诺卡拉15级场地赛为可授予运动员技术等级的组别及小项，具体标准按国家体育总局最新发布的《帆船项目运动员技术等级标准》执行。</w:t>
      </w:r>
    </w:p>
    <w:p w14:paraId="4C9447EC">
      <w:pPr>
        <w:adjustRightInd w:val="0"/>
        <w:snapToGrid w:val="0"/>
        <w:spacing w:line="460" w:lineRule="exact"/>
        <w:ind w:firstLine="562" w:firstLineChars="200"/>
        <w:rPr>
          <w:rFonts w:ascii="仿宋" w:hAnsi="仿宋" w:eastAsia="仿宋" w:cs="仿宋"/>
          <w:b/>
          <w:sz w:val="28"/>
          <w:szCs w:val="28"/>
        </w:rPr>
      </w:pPr>
      <w:r>
        <w:rPr>
          <w:rFonts w:hint="eastAsia" w:ascii="仿宋" w:hAnsi="仿宋" w:eastAsia="仿宋" w:cs="仿宋"/>
          <w:b/>
          <w:sz w:val="28"/>
          <w:szCs w:val="28"/>
        </w:rPr>
        <w:t>十五、其他</w:t>
      </w:r>
    </w:p>
    <w:p w14:paraId="6F980B7D">
      <w:pPr>
        <w:adjustRightInd w:val="0"/>
        <w:snapToGrid w:val="0"/>
        <w:spacing w:line="460" w:lineRule="exact"/>
        <w:ind w:firstLine="560" w:firstLineChars="200"/>
        <w:rPr>
          <w:rFonts w:ascii="仿宋" w:hAnsi="仿宋" w:eastAsia="仿宋" w:cs="仿宋"/>
          <w:sz w:val="28"/>
          <w:szCs w:val="28"/>
        </w:rPr>
      </w:pPr>
      <w:r>
        <w:rPr>
          <w:rFonts w:hint="eastAsia" w:ascii="仿宋" w:hAnsi="仿宋" w:eastAsia="仿宋" w:cs="仿宋"/>
          <w:sz w:val="28"/>
          <w:szCs w:val="28"/>
        </w:rPr>
        <w:t>（一）如本规程内容与本届运动会竞赛规程总则或上海市体育局相关规定发生冲突，则以本届运动会总则或上海市体育局规定为准。</w:t>
      </w:r>
    </w:p>
    <w:p w14:paraId="36FDA3AF">
      <w:pPr>
        <w:adjustRightInd w:val="0"/>
        <w:snapToGrid w:val="0"/>
        <w:spacing w:line="460" w:lineRule="exact"/>
        <w:ind w:firstLine="560" w:firstLineChars="200"/>
        <w:rPr>
          <w:rFonts w:ascii="仿宋" w:hAnsi="仿宋" w:eastAsia="仿宋" w:cs="仿宋"/>
          <w:sz w:val="28"/>
          <w:szCs w:val="28"/>
        </w:rPr>
      </w:pPr>
      <w:bookmarkStart w:id="1" w:name="_Hlk162361054"/>
      <w:r>
        <w:rPr>
          <w:rFonts w:hint="eastAsia" w:ascii="仿宋" w:hAnsi="仿宋" w:eastAsia="仿宋" w:cs="仿宋"/>
          <w:sz w:val="28"/>
          <w:szCs w:val="28"/>
        </w:rPr>
        <w:t>（二）参赛单位运动员、教练员应知晓体育竞赛的相关风险，确保自己身体状况符合参赛要求，自行承担非承办单位故意或重大过失导致的伤害。</w:t>
      </w:r>
      <w:bookmarkEnd w:id="1"/>
    </w:p>
    <w:p w14:paraId="3B7D525B">
      <w:pPr>
        <w:adjustRightInd w:val="0"/>
        <w:snapToGrid w:val="0"/>
        <w:spacing w:line="460" w:lineRule="exact"/>
        <w:ind w:firstLine="560" w:firstLineChars="200"/>
        <w:rPr>
          <w:rFonts w:ascii="仿宋" w:hAnsi="仿宋" w:eastAsia="仿宋" w:cs="仿宋"/>
          <w:sz w:val="28"/>
          <w:szCs w:val="28"/>
        </w:rPr>
      </w:pPr>
      <w:r>
        <w:rPr>
          <w:rFonts w:hint="eastAsia" w:ascii="仿宋" w:hAnsi="仿宋" w:eastAsia="仿宋" w:cs="仿宋"/>
          <w:sz w:val="28"/>
          <w:szCs w:val="28"/>
        </w:rPr>
        <w:t>（三）未尽事宜，另行通知。</w:t>
      </w:r>
    </w:p>
    <w:p w14:paraId="51CD4878"/>
    <w:sectPr>
      <w:footerReference r:id="rId3" w:type="default"/>
      <w:footnotePr>
        <w:numRestart w:val="eachPage"/>
      </w:footnotePr>
      <w:type w:val="continuous"/>
      <w:pgSz w:w="11906" w:h="16838"/>
      <w:pgMar w:top="1440" w:right="1797" w:bottom="1440" w:left="179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28992A">
    <w:pPr>
      <w:pStyle w:val="1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2E1225">
                          <w:pPr>
                            <w:pStyle w:val="12"/>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A2E1225">
                    <w:pPr>
                      <w:pStyle w:val="12"/>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numRestart w:val="eachPage"/>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BFD"/>
    <w:rsid w:val="000216C5"/>
    <w:rsid w:val="00062414"/>
    <w:rsid w:val="0007276E"/>
    <w:rsid w:val="000C1562"/>
    <w:rsid w:val="000C5CD5"/>
    <w:rsid w:val="000D0BE0"/>
    <w:rsid w:val="00100A5D"/>
    <w:rsid w:val="0010335D"/>
    <w:rsid w:val="00126180"/>
    <w:rsid w:val="00127229"/>
    <w:rsid w:val="001306B7"/>
    <w:rsid w:val="0013633B"/>
    <w:rsid w:val="00164BFD"/>
    <w:rsid w:val="0016777F"/>
    <w:rsid w:val="00187B84"/>
    <w:rsid w:val="001D49FC"/>
    <w:rsid w:val="001F3BCE"/>
    <w:rsid w:val="002067A7"/>
    <w:rsid w:val="002427C3"/>
    <w:rsid w:val="00267F97"/>
    <w:rsid w:val="00291D37"/>
    <w:rsid w:val="00352A2C"/>
    <w:rsid w:val="00392695"/>
    <w:rsid w:val="003A355F"/>
    <w:rsid w:val="003C28FA"/>
    <w:rsid w:val="003F5993"/>
    <w:rsid w:val="004009C6"/>
    <w:rsid w:val="004105EA"/>
    <w:rsid w:val="00424C76"/>
    <w:rsid w:val="00424FDD"/>
    <w:rsid w:val="00465FF3"/>
    <w:rsid w:val="00481DA0"/>
    <w:rsid w:val="00482130"/>
    <w:rsid w:val="004955CA"/>
    <w:rsid w:val="00497376"/>
    <w:rsid w:val="004A14B3"/>
    <w:rsid w:val="004C3132"/>
    <w:rsid w:val="004D1564"/>
    <w:rsid w:val="004F243F"/>
    <w:rsid w:val="005137B8"/>
    <w:rsid w:val="00521C4E"/>
    <w:rsid w:val="00557882"/>
    <w:rsid w:val="005C753F"/>
    <w:rsid w:val="005D5D6F"/>
    <w:rsid w:val="005E4507"/>
    <w:rsid w:val="0060033D"/>
    <w:rsid w:val="00610BF7"/>
    <w:rsid w:val="00614D52"/>
    <w:rsid w:val="00674BEA"/>
    <w:rsid w:val="006B5CD2"/>
    <w:rsid w:val="00705350"/>
    <w:rsid w:val="0074144C"/>
    <w:rsid w:val="007A3EC5"/>
    <w:rsid w:val="007B2ABA"/>
    <w:rsid w:val="007D0A6A"/>
    <w:rsid w:val="0080589A"/>
    <w:rsid w:val="00805BFC"/>
    <w:rsid w:val="008071B6"/>
    <w:rsid w:val="008150E1"/>
    <w:rsid w:val="0084745E"/>
    <w:rsid w:val="00873573"/>
    <w:rsid w:val="00875BC3"/>
    <w:rsid w:val="008B090E"/>
    <w:rsid w:val="008B75F7"/>
    <w:rsid w:val="008C1FCD"/>
    <w:rsid w:val="008C3F6A"/>
    <w:rsid w:val="008E141A"/>
    <w:rsid w:val="00902A58"/>
    <w:rsid w:val="00912859"/>
    <w:rsid w:val="009204BE"/>
    <w:rsid w:val="00972D07"/>
    <w:rsid w:val="009A060B"/>
    <w:rsid w:val="009C038A"/>
    <w:rsid w:val="009E2B65"/>
    <w:rsid w:val="00A15677"/>
    <w:rsid w:val="00A25E1B"/>
    <w:rsid w:val="00A42038"/>
    <w:rsid w:val="00A576D7"/>
    <w:rsid w:val="00A66B1E"/>
    <w:rsid w:val="00A676F2"/>
    <w:rsid w:val="00AF35BC"/>
    <w:rsid w:val="00B0086F"/>
    <w:rsid w:val="00B2151B"/>
    <w:rsid w:val="00B23AD3"/>
    <w:rsid w:val="00B43BD1"/>
    <w:rsid w:val="00B657F9"/>
    <w:rsid w:val="00B668A1"/>
    <w:rsid w:val="00B77428"/>
    <w:rsid w:val="00BF6995"/>
    <w:rsid w:val="00C043C5"/>
    <w:rsid w:val="00C43F76"/>
    <w:rsid w:val="00CA0DF8"/>
    <w:rsid w:val="00CA5635"/>
    <w:rsid w:val="00CC533C"/>
    <w:rsid w:val="00CC6F3F"/>
    <w:rsid w:val="00CD7E6F"/>
    <w:rsid w:val="00CE7FEE"/>
    <w:rsid w:val="00CF3B12"/>
    <w:rsid w:val="00D536CA"/>
    <w:rsid w:val="00D56604"/>
    <w:rsid w:val="00D66A0B"/>
    <w:rsid w:val="00D70267"/>
    <w:rsid w:val="00D85988"/>
    <w:rsid w:val="00DE382C"/>
    <w:rsid w:val="00DF67ED"/>
    <w:rsid w:val="00E81791"/>
    <w:rsid w:val="00E83E43"/>
    <w:rsid w:val="00E9006A"/>
    <w:rsid w:val="00E90D7D"/>
    <w:rsid w:val="00E97310"/>
    <w:rsid w:val="00EC4E2D"/>
    <w:rsid w:val="00EC746D"/>
    <w:rsid w:val="00EF4B34"/>
    <w:rsid w:val="00F3168F"/>
    <w:rsid w:val="00F902CA"/>
    <w:rsid w:val="00FF781A"/>
    <w:rsid w:val="0716124A"/>
    <w:rsid w:val="0C961B4A"/>
    <w:rsid w:val="0FF479DC"/>
    <w:rsid w:val="197E3F1E"/>
    <w:rsid w:val="20EC2034"/>
    <w:rsid w:val="2227482C"/>
    <w:rsid w:val="247D50F0"/>
    <w:rsid w:val="2C670D64"/>
    <w:rsid w:val="3231195A"/>
    <w:rsid w:val="324744B1"/>
    <w:rsid w:val="37F94537"/>
    <w:rsid w:val="3C137B4E"/>
    <w:rsid w:val="49467BE8"/>
    <w:rsid w:val="4E297335"/>
    <w:rsid w:val="500B33C8"/>
    <w:rsid w:val="55F73163"/>
    <w:rsid w:val="561749D0"/>
    <w:rsid w:val="56ED315F"/>
    <w:rsid w:val="58585265"/>
    <w:rsid w:val="5CBC3225"/>
    <w:rsid w:val="60AD4B82"/>
    <w:rsid w:val="6ADF4A3D"/>
    <w:rsid w:val="6D2409DE"/>
    <w:rsid w:val="6D605F26"/>
    <w:rsid w:val="70AC7790"/>
    <w:rsid w:val="7C910170"/>
    <w:rsid w:val="7CB317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semiHidden="0" w:name="footnote text"/>
    <w:lsdException w:qFormat="1"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21"/>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2"/>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3"/>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4"/>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5"/>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6"/>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7"/>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8"/>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9"/>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semiHidden/>
    <w:unhideWhenUsed/>
    <w:qFormat/>
    <w:uiPriority w:val="99"/>
    <w:pPr>
      <w:jc w:val="left"/>
    </w:pPr>
  </w:style>
  <w:style w:type="paragraph" w:styleId="12">
    <w:name w:val="footer"/>
    <w:basedOn w:val="1"/>
    <w:link w:val="39"/>
    <w:qFormat/>
    <w:uiPriority w:val="99"/>
    <w:pPr>
      <w:tabs>
        <w:tab w:val="center" w:pos="4153"/>
        <w:tab w:val="right" w:pos="8306"/>
      </w:tabs>
      <w:snapToGrid w:val="0"/>
      <w:jc w:val="left"/>
    </w:pPr>
    <w:rPr>
      <w:sz w:val="18"/>
      <w:szCs w:val="18"/>
    </w:rPr>
  </w:style>
  <w:style w:type="paragraph" w:styleId="13">
    <w:name w:val="header"/>
    <w:basedOn w:val="1"/>
    <w:link w:val="42"/>
    <w:unhideWhenUsed/>
    <w:qFormat/>
    <w:uiPriority w:val="99"/>
    <w:pPr>
      <w:tabs>
        <w:tab w:val="center" w:pos="4153"/>
        <w:tab w:val="right" w:pos="8306"/>
      </w:tabs>
      <w:snapToGrid w:val="0"/>
      <w:jc w:val="center"/>
    </w:pPr>
    <w:rPr>
      <w:sz w:val="18"/>
      <w:szCs w:val="18"/>
    </w:rPr>
  </w:style>
  <w:style w:type="paragraph" w:styleId="14">
    <w:name w:val="Subtitle"/>
    <w:basedOn w:val="1"/>
    <w:next w:val="1"/>
    <w:link w:val="31"/>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5">
    <w:name w:val="footnote text"/>
    <w:basedOn w:val="1"/>
    <w:link w:val="40"/>
    <w:qFormat/>
    <w:uiPriority w:val="99"/>
    <w:pPr>
      <w:snapToGrid w:val="0"/>
      <w:jc w:val="left"/>
    </w:pPr>
    <w:rPr>
      <w:sz w:val="18"/>
      <w:szCs w:val="18"/>
    </w:rPr>
  </w:style>
  <w:style w:type="paragraph" w:styleId="16">
    <w:name w:val="Title"/>
    <w:basedOn w:val="1"/>
    <w:next w:val="1"/>
    <w:link w:val="30"/>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styleId="19">
    <w:name w:val="Hyperlink"/>
    <w:basedOn w:val="18"/>
    <w:qFormat/>
    <w:uiPriority w:val="99"/>
    <w:rPr>
      <w:color w:val="0000FF"/>
      <w:u w:val="single"/>
    </w:rPr>
  </w:style>
  <w:style w:type="character" w:styleId="20">
    <w:name w:val="footnote reference"/>
    <w:basedOn w:val="18"/>
    <w:qFormat/>
    <w:uiPriority w:val="99"/>
    <w:rPr>
      <w:vertAlign w:val="superscript"/>
    </w:rPr>
  </w:style>
  <w:style w:type="character" w:customStyle="1" w:styleId="21">
    <w:name w:val="标题 1 字符"/>
    <w:basedOn w:val="18"/>
    <w:link w:val="2"/>
    <w:qFormat/>
    <w:uiPriority w:val="9"/>
    <w:rPr>
      <w:rFonts w:asciiTheme="majorHAnsi" w:hAnsiTheme="majorHAnsi" w:eastAsiaTheme="majorEastAsia" w:cstheme="majorBidi"/>
      <w:color w:val="104862" w:themeColor="accent1" w:themeShade="BF"/>
      <w:sz w:val="48"/>
      <w:szCs w:val="48"/>
    </w:rPr>
  </w:style>
  <w:style w:type="character" w:customStyle="1" w:styleId="22">
    <w:name w:val="标题 2 字符"/>
    <w:basedOn w:val="18"/>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3">
    <w:name w:val="标题 3 字符"/>
    <w:basedOn w:val="18"/>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4">
    <w:name w:val="标题 4 字符"/>
    <w:basedOn w:val="18"/>
    <w:link w:val="5"/>
    <w:semiHidden/>
    <w:qFormat/>
    <w:uiPriority w:val="9"/>
    <w:rPr>
      <w:rFonts w:cstheme="majorBidi"/>
      <w:color w:val="104862" w:themeColor="accent1" w:themeShade="BF"/>
      <w:sz w:val="28"/>
      <w:szCs w:val="28"/>
    </w:rPr>
  </w:style>
  <w:style w:type="character" w:customStyle="1" w:styleId="25">
    <w:name w:val="标题 5 字符"/>
    <w:basedOn w:val="18"/>
    <w:link w:val="6"/>
    <w:semiHidden/>
    <w:qFormat/>
    <w:uiPriority w:val="9"/>
    <w:rPr>
      <w:rFonts w:cstheme="majorBidi"/>
      <w:color w:val="104862" w:themeColor="accent1" w:themeShade="BF"/>
      <w:sz w:val="24"/>
    </w:rPr>
  </w:style>
  <w:style w:type="character" w:customStyle="1" w:styleId="26">
    <w:name w:val="标题 6 字符"/>
    <w:basedOn w:val="18"/>
    <w:link w:val="7"/>
    <w:semiHidden/>
    <w:qFormat/>
    <w:uiPriority w:val="9"/>
    <w:rPr>
      <w:rFonts w:cstheme="majorBidi"/>
      <w:b/>
      <w:bCs/>
      <w:color w:val="104862" w:themeColor="accent1" w:themeShade="BF"/>
    </w:rPr>
  </w:style>
  <w:style w:type="character" w:customStyle="1" w:styleId="27">
    <w:name w:val="标题 7 字符"/>
    <w:basedOn w:val="18"/>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8">
    <w:name w:val="标题 8 字符"/>
    <w:basedOn w:val="18"/>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9">
    <w:name w:val="标题 9 字符"/>
    <w:basedOn w:val="18"/>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0">
    <w:name w:val="标题 字符"/>
    <w:basedOn w:val="18"/>
    <w:link w:val="16"/>
    <w:qFormat/>
    <w:uiPriority w:val="10"/>
    <w:rPr>
      <w:rFonts w:asciiTheme="majorHAnsi" w:hAnsiTheme="majorHAnsi" w:eastAsiaTheme="majorEastAsia" w:cstheme="majorBidi"/>
      <w:spacing w:val="-10"/>
      <w:kern w:val="28"/>
      <w:sz w:val="56"/>
      <w:szCs w:val="56"/>
    </w:rPr>
  </w:style>
  <w:style w:type="character" w:customStyle="1" w:styleId="31">
    <w:name w:val="副标题 字符"/>
    <w:basedOn w:val="18"/>
    <w:link w:val="14"/>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2">
    <w:name w:val="Quote"/>
    <w:basedOn w:val="1"/>
    <w:next w:val="1"/>
    <w:link w:val="33"/>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3">
    <w:name w:val="引用 字符"/>
    <w:basedOn w:val="18"/>
    <w:link w:val="32"/>
    <w:qFormat/>
    <w:uiPriority w:val="29"/>
    <w:rPr>
      <w:i/>
      <w:iCs/>
      <w:color w:val="404040" w:themeColor="text1" w:themeTint="BF"/>
      <w14:textFill>
        <w14:solidFill>
          <w14:schemeClr w14:val="tx1">
            <w14:lumMod w14:val="75000"/>
            <w14:lumOff w14:val="25000"/>
          </w14:schemeClr>
        </w14:solidFill>
      </w14:textFill>
    </w:rPr>
  </w:style>
  <w:style w:type="paragraph" w:styleId="34">
    <w:name w:val="List Paragraph"/>
    <w:basedOn w:val="1"/>
    <w:qFormat/>
    <w:uiPriority w:val="34"/>
    <w:pPr>
      <w:ind w:left="720"/>
      <w:contextualSpacing/>
    </w:pPr>
  </w:style>
  <w:style w:type="character" w:customStyle="1" w:styleId="35">
    <w:name w:val="明显强调1"/>
    <w:basedOn w:val="18"/>
    <w:qFormat/>
    <w:uiPriority w:val="21"/>
    <w:rPr>
      <w:i/>
      <w:iCs/>
      <w:color w:val="104862" w:themeColor="accent1" w:themeShade="BF"/>
    </w:rPr>
  </w:style>
  <w:style w:type="paragraph" w:styleId="36">
    <w:name w:val="Intense Quote"/>
    <w:basedOn w:val="1"/>
    <w:next w:val="1"/>
    <w:link w:val="37"/>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7">
    <w:name w:val="明显引用 字符"/>
    <w:basedOn w:val="18"/>
    <w:link w:val="36"/>
    <w:qFormat/>
    <w:uiPriority w:val="30"/>
    <w:rPr>
      <w:i/>
      <w:iCs/>
      <w:color w:val="104862" w:themeColor="accent1" w:themeShade="BF"/>
    </w:rPr>
  </w:style>
  <w:style w:type="character" w:customStyle="1" w:styleId="38">
    <w:name w:val="明显参考1"/>
    <w:basedOn w:val="18"/>
    <w:qFormat/>
    <w:uiPriority w:val="32"/>
    <w:rPr>
      <w:b/>
      <w:bCs/>
      <w:smallCaps/>
      <w:color w:val="104862" w:themeColor="accent1" w:themeShade="BF"/>
      <w:spacing w:val="5"/>
    </w:rPr>
  </w:style>
  <w:style w:type="character" w:customStyle="1" w:styleId="39">
    <w:name w:val="页脚 字符"/>
    <w:basedOn w:val="18"/>
    <w:link w:val="12"/>
    <w:qFormat/>
    <w:uiPriority w:val="99"/>
    <w:rPr>
      <w:rFonts w:ascii="Calibri" w:hAnsi="Calibri" w:eastAsia="宋体" w:cs="Times New Roman"/>
      <w:sz w:val="18"/>
      <w:szCs w:val="18"/>
      <w14:ligatures w14:val="none"/>
    </w:rPr>
  </w:style>
  <w:style w:type="character" w:customStyle="1" w:styleId="40">
    <w:name w:val="脚注文本 字符"/>
    <w:basedOn w:val="18"/>
    <w:link w:val="15"/>
    <w:qFormat/>
    <w:uiPriority w:val="99"/>
    <w:rPr>
      <w:rFonts w:ascii="Calibri" w:hAnsi="Calibri" w:eastAsia="宋体" w:cs="Times New Roman"/>
      <w:sz w:val="18"/>
      <w:szCs w:val="18"/>
      <w14:ligatures w14:val="none"/>
    </w:rPr>
  </w:style>
  <w:style w:type="paragraph" w:customStyle="1" w:styleId="41">
    <w:name w:val="Table Text"/>
    <w:basedOn w:val="1"/>
    <w:semiHidden/>
    <w:qFormat/>
    <w:uiPriority w:val="0"/>
  </w:style>
  <w:style w:type="character" w:customStyle="1" w:styleId="42">
    <w:name w:val="页眉 字符"/>
    <w:basedOn w:val="18"/>
    <w:link w:val="13"/>
    <w:qFormat/>
    <w:uiPriority w:val="99"/>
    <w:rPr>
      <w:rFonts w:ascii="Calibri" w:hAnsi="Calibri" w:eastAsia="宋体" w:cs="Times New Roman"/>
      <w:sz w:val="18"/>
      <w:szCs w:val="18"/>
      <w14:ligatures w14: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a5f013d6-9ebe-47da-b9c6-c0ebc0b9165b</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43AE310B</paraID>
      <start>17</start>
      <end>18</end>
      <status>modified</status>
      <modifiedWord>—</modifiedWord>
      <trackRevisions>false</trackRevisions>
    </reviewItem>
    <reviewItem>
      <errorID>6746bad1-fabf-4b73-864b-d02e168c3e3f</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9185E3B</paraID>
      <start>11</start>
      <end>12</end>
      <status>modified</status>
      <modifiedWord>—</modifiedWord>
      <trackRevisions>false</trackRevisions>
    </reviewItem>
    <reviewItem>
      <errorID>0db5747d-3bbf-46f4-9fbc-67441194837a</errorID>
      <errorWord>）</errorWord>
      <group>L1_Punc</group>
      <groupName>标点问题</groupName>
      <ability>L2_Punc</ability>
      <abilityName>标点符号检查</abilityName>
      <candidateList>
        <item>）；</item>
      </candidateList>
      <explain/>
      <paraID>7A29B250</paraID>
      <start>43</start>
      <end>45</end>
      <status>modified</status>
      <modifiedWord>）；</modifiedWord>
      <trackRevisions>false</trackRevisions>
    </reviewItem>
    <reviewItem>
      <errorID>7ea921f1-1564-435b-ad76-135095c26db4</errorID>
      <errorWord>）</errorWord>
      <group>L1_Punc</group>
      <groupName>标点问题</groupName>
      <ability>L2_Punc</ability>
      <abilityName>标点符号检查</abilityName>
      <candidateList>
        <item>）；</item>
      </candidateList>
      <explain/>
      <paraID>49E2B99F</paraID>
      <start>12</start>
      <end>14</end>
      <status>modified</status>
      <modifiedWord>）；</modifiedWord>
      <trackRevisions>false</trackRevisions>
    </reviewItem>
    <reviewItem>
      <errorID>56832110-9db6-499d-9148-8df7ad254e42</errorID>
      <errorWord>赛前</errorWord>
      <group>L1_Punc</group>
      <groupName>标点问题</groupName>
      <ability>L2_Punc</ability>
      <abilityName>标点符号检查</abilityName>
      <candidateList>
        <item>，赛前</item>
      </candidateList>
      <explain/>
      <paraID>79E27B1F</paraID>
      <start>52</start>
      <end>55</end>
      <status>modified</status>
      <modifiedWord>，赛前</modifiedWord>
      <trackRevisions>false</trackRevisions>
    </reviewItem>
    <reviewItem>
      <errorID>4fd2f708-a927-4f8a-9d53-9f0988b42f21</errorID>
      <errorWord>间</errorWord>
      <group>L1_Word</group>
      <groupName>字词问题</groupName>
      <ability>L2_Typo</ability>
      <abilityName>字词错误</abilityName>
      <candidateList>
        <item>间内</item>
      </candidateList>
      <explain/>
      <paraID>79E27B1F</paraID>
      <start>150</start>
      <end>152</end>
      <status>modified</status>
      <modifiedWord>间内</modifiedWord>
      <trackRevisions>false</trackRevisions>
    </reviewItem>
    <reviewItem>
      <errorID>087cb7b9-d8dd-42eb-aaf5-a77813f30b79</errorID>
      <errorWord>）</errorWord>
      <group>L1_Punc</group>
      <groupName>标点问题</groupName>
      <ability>L2_Punc</ability>
      <abilityName>标点符号检查</abilityName>
      <candidateList>
        <item>）；</item>
      </candidateList>
      <explain/>
      <paraID>7B69BF56</paraID>
      <start>39</start>
      <end>41</end>
      <status>modified</status>
      <modifiedWord>）；</modifiedWord>
      <trackRevisions>false</trackRevisions>
    </reviewItem>
    <reviewItem>
      <errorID>74e70252-e9ac-453c-8e37-a1f6ed7d92dc</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35290886</paraID>
      <start>20</start>
      <end>21</end>
      <status>modified</status>
      <modifiedWord>—</modifiedWord>
      <trackRevisions>false</trackRevisions>
    </reviewItem>
    <reviewItem>
      <errorID>9c01439d-5bf3-4e3c-9304-cbbac89d14ab</errorID>
      <errorWord>计</errorWord>
      <group>L1_Word</group>
      <groupName>字词问题</groupName>
      <ability>L2_Typo</ability>
      <abilityName>字词错误</abilityName>
      <candidateList>
        <item>计算</item>
      </candidateList>
      <explain/>
      <paraID>4E7F19A3</paraID>
      <start>33</start>
      <end>35</end>
      <status>modified</status>
      <modifiedWord>计算</modifiedWord>
      <trackRevisions>false</trackRevisions>
    </reviewItem>
    <reviewItem>
      <errorID>01cb4099-5b60-4d7a-90aa-67b2b92343c4</errorID>
      <errorWord>，</errorWord>
      <group>L1_Punc</group>
      <groupName>标点问题</groupName>
      <ability>L2_Punc</ability>
      <abilityName>标点符号检查</abilityName>
      <candidateList>
        <item>。</item>
      </candidateList>
      <explain/>
      <paraID>34A95978</paraID>
      <start>50</start>
      <end>51</end>
      <status>modified</status>
      <modifiedWord>。</modifiedWord>
      <trackRevisions>false</trackRevisions>
    </reviewItem>
    <reviewItem>
      <errorID>d50ca4f1-942b-457a-aeca-61d7b5c7841d</errorID>
      <errorWord>标准惩罚</errorWord>
      <group>L1_Grammar</group>
      <groupName>语法问题</groupName>
      <ability>L2_Grammar</ability>
      <abilityName>语法错误</abilityName>
      <candidateList>
        <item>标准</item>
      </candidateList>
      <explain/>
      <paraID>3EC5D242</paraID>
      <start>33</start>
      <end>37</end>
      <status>ignored</status>
      <modifiedWord/>
      <trackRevisions>false</trackRevisions>
    </reviewItem>
    <reviewItem>
      <errorID>afe76c02-ddb3-437d-af40-9d1d693ae5e9</errorID>
      <errorWord>。</errorWord>
      <group>L1_Punc</group>
      <groupName>标点问题</groupName>
      <ability>L2_Punc</ability>
      <abilityName>标点符号检查</abilityName>
      <candidateList>
        <item>：</item>
      </candidateList>
      <explain/>
      <paraID>4087D32F</paraID>
      <start>12</start>
      <end>13</end>
      <status>modified</status>
      <modifiedWord>：</modifiedWord>
      <trackRevisions>false</trackRevisions>
    </reviewItem>
    <reviewItem>
      <errorID>4801f17d-a8a9-482f-b93d-e63bee3ef44e</errorID>
      <errorWord>单位3</errorWord>
      <group>L1_Grammar</group>
      <groupName>语法问题</groupName>
      <ability>L2_Grammar</ability>
      <abilityName>语法错误</abilityName>
      <candidateList>
        <item>单位且每单位少于3</item>
      </candidateList>
      <explain/>
      <paraID>5E45085E</paraID>
      <start>30</start>
      <end>33</end>
      <status>ignored</status>
      <modifiedWord/>
      <trackRevisions>false</trackRevisions>
    </reviewItem>
    <reviewItem>
      <errorID>93240cdb-9b37-4c45-8667-2edc47ab63aa</errorID>
      <errorWord>计牌</errorWord>
      <group>L1_Word</group>
      <groupName>字词问题</groupName>
      <ability>L2_Typo</ability>
      <abilityName>字词错误</abilityName>
      <candidateList>
        <item>计分</item>
      </candidateList>
      <explain/>
      <paraID>30197C14</paraID>
      <start>17</start>
      <end>19</end>
      <status>ignored</status>
      <modifiedWord/>
      <trackRevisions>false</trackRevisions>
    </reviewItem>
    <reviewItem>
      <errorID>86cea56e-65e0-4bf5-a02d-bf2ca190a5f5</errorID>
      <errorWord>)</errorWord>
      <group>L1_Punc</group>
      <groupName>标点问题</groupName>
      <ability>L2_Punc</ability>
      <abilityName>标点符号检查</abilityName>
      <candidateList>
        <item>）</item>
      </candidateList>
      <explain/>
      <paraID>57519D0D</paraID>
      <start>47</start>
      <end>48</end>
      <status>modified</status>
      <modifiedWord>）</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332A5B-ED84-46DC-8B83-6AC024830B5D}">
  <ds:schemaRefs/>
</ds:datastoreItem>
</file>

<file path=customXml/itemProps3.xml><?xml version="1.0" encoding="utf-8"?>
<ds:datastoreItem xmlns:ds="http://schemas.openxmlformats.org/officeDocument/2006/customXml" ds:itemID="{53EAAD9A-3231-46DA-AE9B-BA37CA94DC13}">
  <ds:schemaRefs/>
</ds:datastoreItem>
</file>

<file path=docProps/app.xml><?xml version="1.0" encoding="utf-8"?>
<Properties xmlns="http://schemas.openxmlformats.org/officeDocument/2006/extended-properties" xmlns:vt="http://schemas.openxmlformats.org/officeDocument/2006/docPropsVTypes">
  <Template>Normal.dotm</Template>
  <Pages>5</Pages>
  <Words>1218</Words>
  <Characters>1372</Characters>
  <Lines>21</Lines>
  <Paragraphs>6</Paragraphs>
  <TotalTime>287</TotalTime>
  <ScaleCrop>false</ScaleCrop>
  <LinksUpToDate>false</LinksUpToDate>
  <CharactersWithSpaces>1414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2026-01-08T06:23:00Z</dcterms:created>
  <dc:creator>Jianbo Wang</dc:creator>
  <cp:lastModifiedBy>Xiangyou</cp:lastModifiedBy>
  <cp:lastPrinted>2026-04-03T07:05:00Z</cp:lastPrinted>
  <dcterms:modified xsi:type="dcterms:W3CDTF">2026-05-12T03:04:25Z</dcterms:modified>
  <cp:revision>101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eyJoZGlkIjoiNjA2NmNjZDM3NzUzZGJhY2I3OTc1NzBkNDI5NDdhNTkiLCJ1c2VySWQiOiIxNDQ2MzUxODYzIn0=</vt:lpwstr>
  </property>
  <property fmtid="{D5CDD505-2E9C-101B-9397-08002B2CF9AE}" pid="3" name="KSOProductBuildVer">
    <vt:lpwstr>2052-12.1.0.25865</vt:lpwstr>
  </property>
  <property fmtid="{D5CDD505-2E9C-101B-9397-08002B2CF9AE}" pid="4" name="ICV">
    <vt:lpwstr>861DFFD8268B4BABA461741A89B64EE5_13</vt:lpwstr>
  </property>
</Properties>
</file>