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BC6C60">
      <w:pPr>
        <w:pStyle w:val="13"/>
        <w:widowControl w:val="0"/>
        <w:adjustRightInd w:val="0"/>
        <w:snapToGrid w:val="0"/>
        <w:spacing w:before="0" w:beforeAutospacing="0" w:after="0" w:afterAutospacing="0" w:line="276" w:lineRule="auto"/>
        <w:ind w:right="29" w:rightChars="14"/>
        <w:jc w:val="center"/>
        <w:textAlignment w:val="center"/>
        <w:outlineLvl w:val="0"/>
        <w:rPr>
          <w:rFonts w:ascii="宋体" w:hAnsi="宋体" w:cs="宋体"/>
          <w:b/>
          <w:color w:val="auto"/>
          <w:sz w:val="36"/>
          <w:szCs w:val="36"/>
        </w:rPr>
      </w:pPr>
      <w:r>
        <w:rPr>
          <w:rFonts w:hint="eastAsia" w:ascii="宋体" w:hAnsi="宋体" w:cs="宋体"/>
          <w:b/>
          <w:color w:val="auto"/>
          <w:sz w:val="36"/>
          <w:szCs w:val="36"/>
        </w:rPr>
        <w:t>上海市第十八届运动会摔跤比赛（青少年组）</w:t>
      </w:r>
    </w:p>
    <w:p w14:paraId="25B82453">
      <w:pPr>
        <w:pStyle w:val="13"/>
        <w:widowControl w:val="0"/>
        <w:adjustRightInd w:val="0"/>
        <w:snapToGrid w:val="0"/>
        <w:spacing w:before="0" w:beforeAutospacing="0" w:after="0" w:afterAutospacing="0" w:line="276" w:lineRule="auto"/>
        <w:ind w:right="29" w:rightChars="14"/>
        <w:jc w:val="center"/>
        <w:textAlignment w:val="center"/>
        <w:outlineLvl w:val="0"/>
        <w:rPr>
          <w:rFonts w:ascii="宋体" w:hAnsi="宋体" w:cs="宋体"/>
          <w:b/>
          <w:color w:val="auto"/>
          <w:sz w:val="32"/>
          <w:szCs w:val="32"/>
        </w:rPr>
      </w:pPr>
      <w:r>
        <w:rPr>
          <w:rFonts w:hint="eastAsia" w:ascii="宋体" w:hAnsi="宋体" w:cs="宋体"/>
          <w:b/>
          <w:color w:val="auto"/>
          <w:sz w:val="36"/>
          <w:szCs w:val="36"/>
        </w:rPr>
        <w:t>竞赛规程</w:t>
      </w:r>
    </w:p>
    <w:p w14:paraId="18A119F2">
      <w:pPr>
        <w:adjustRightInd w:val="0"/>
        <w:snapToGrid w:val="0"/>
        <w:spacing w:line="360" w:lineRule="auto"/>
        <w:ind w:firstLine="482" w:firstLineChars="200"/>
        <w:rPr>
          <w:rFonts w:ascii="宋体" w:hAnsi="宋体" w:cs="仿宋"/>
          <w:b/>
          <w:sz w:val="24"/>
          <w:szCs w:val="24"/>
        </w:rPr>
      </w:pPr>
    </w:p>
    <w:p w14:paraId="0DB6031C">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4D73CED1">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上海市杨浦区体育局</w:t>
      </w:r>
    </w:p>
    <w:p w14:paraId="2B4E51F5">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上海体育大学附属竞技体育学校</w:t>
      </w:r>
    </w:p>
    <w:p w14:paraId="72A8DFA6">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上海秦本体育发展公司</w:t>
      </w:r>
    </w:p>
    <w:p w14:paraId="5596735E">
      <w:pPr>
        <w:adjustRightInd w:val="0"/>
        <w:snapToGrid w:val="0"/>
        <w:spacing w:line="540" w:lineRule="exact"/>
        <w:ind w:left="2808" w:leftChars="266" w:hanging="2249" w:hangingChars="8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待定</w:t>
      </w:r>
    </w:p>
    <w:p w14:paraId="33B5F382">
      <w:pPr>
        <w:adjustRightInd w:val="0"/>
        <w:snapToGrid w:val="0"/>
        <w:spacing w:line="540" w:lineRule="exact"/>
        <w:ind w:firstLine="562"/>
        <w:rPr>
          <w:rFonts w:ascii="仿宋" w:hAnsi="仿宋" w:eastAsia="仿宋_GB2312"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待定</w:t>
      </w:r>
    </w:p>
    <w:p w14:paraId="01526763">
      <w:pPr>
        <w:adjustRightInd w:val="0"/>
        <w:snapToGrid w:val="0"/>
        <w:spacing w:line="540" w:lineRule="exact"/>
        <w:ind w:firstLine="562" w:firstLineChars="200"/>
        <w:rPr>
          <w:rFonts w:ascii="仿宋" w:hAnsi="仿宋" w:eastAsia="仿宋" w:cs="仿宋"/>
          <w:bCs/>
          <w:sz w:val="25"/>
          <w:szCs w:val="25"/>
        </w:rPr>
      </w:pPr>
      <w:r>
        <w:rPr>
          <w:rFonts w:hint="eastAsia" w:ascii="仿宋" w:hAnsi="仿宋" w:eastAsia="仿宋" w:cs="仿宋"/>
          <w:b/>
          <w:sz w:val="28"/>
          <w:szCs w:val="28"/>
        </w:rPr>
        <w:t>五、竞赛地点：</w:t>
      </w:r>
      <w:r>
        <w:rPr>
          <w:rFonts w:hint="eastAsia" w:ascii="仿宋" w:hAnsi="仿宋" w:eastAsia="仿宋" w:cs="仿宋"/>
          <w:sz w:val="28"/>
          <w:szCs w:val="28"/>
        </w:rPr>
        <w:t>待定</w:t>
      </w:r>
    </w:p>
    <w:p w14:paraId="2E5A8117">
      <w:pPr>
        <w:pStyle w:val="13"/>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kern w:val="18"/>
          <w:sz w:val="28"/>
          <w:szCs w:val="28"/>
        </w:rPr>
      </w:pPr>
      <w:r>
        <w:rPr>
          <w:rFonts w:hint="eastAsia" w:ascii="仿宋" w:hAnsi="仿宋" w:eastAsia="仿宋" w:cs="仿宋"/>
          <w:b/>
          <w:color w:val="auto"/>
          <w:kern w:val="18"/>
          <w:sz w:val="28"/>
          <w:szCs w:val="28"/>
        </w:rPr>
        <w:t>六、参加单位：</w:t>
      </w:r>
      <w:r>
        <w:rPr>
          <w:rFonts w:hint="eastAsia" w:ascii="仿宋" w:hAnsi="仿宋" w:eastAsia="仿宋" w:cs="仿宋"/>
          <w:color w:val="auto"/>
          <w:sz w:val="28"/>
          <w:szCs w:val="28"/>
        </w:rPr>
        <w:t>本市各区</w:t>
      </w:r>
    </w:p>
    <w:p w14:paraId="53C2017F">
      <w:pPr>
        <w:pStyle w:val="13"/>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kern w:val="18"/>
          <w:sz w:val="28"/>
          <w:szCs w:val="28"/>
        </w:rPr>
      </w:pPr>
      <w:r>
        <w:rPr>
          <w:rFonts w:hint="eastAsia" w:ascii="仿宋" w:hAnsi="仿宋" w:eastAsia="仿宋" w:cs="仿宋"/>
          <w:b/>
          <w:color w:val="auto"/>
          <w:kern w:val="18"/>
          <w:sz w:val="28"/>
          <w:szCs w:val="28"/>
        </w:rPr>
        <w:t xml:space="preserve">七、年龄组别和小项设置 </w:t>
      </w:r>
    </w:p>
    <w:tbl>
      <w:tblPr>
        <w:tblStyle w:val="8"/>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2086"/>
        <w:gridCol w:w="760"/>
        <w:gridCol w:w="2890"/>
        <w:gridCol w:w="3241"/>
      </w:tblGrid>
      <w:tr w14:paraId="3657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vAlign w:val="center"/>
          </w:tcPr>
          <w:p w14:paraId="39D24289">
            <w:pPr>
              <w:spacing w:line="312" w:lineRule="auto"/>
              <w:jc w:val="center"/>
              <w:rPr>
                <w:rFonts w:ascii="仿宋" w:hAnsi="仿宋" w:eastAsia="仿宋" w:cs="仿宋"/>
                <w:sz w:val="24"/>
                <w:szCs w:val="24"/>
              </w:rPr>
            </w:pPr>
            <w:r>
              <w:rPr>
                <w:rFonts w:hint="eastAsia" w:ascii="仿宋" w:hAnsi="仿宋" w:eastAsia="仿宋" w:cs="仿宋"/>
                <w:sz w:val="24"/>
                <w:szCs w:val="24"/>
              </w:rPr>
              <w:t>组别</w:t>
            </w:r>
          </w:p>
        </w:tc>
        <w:tc>
          <w:tcPr>
            <w:tcW w:w="2086" w:type="dxa"/>
            <w:vAlign w:val="center"/>
          </w:tcPr>
          <w:p w14:paraId="6A9776F1">
            <w:pPr>
              <w:spacing w:line="312" w:lineRule="auto"/>
              <w:jc w:val="center"/>
              <w:rPr>
                <w:rFonts w:ascii="仿宋" w:hAnsi="仿宋" w:eastAsia="仿宋" w:cs="仿宋"/>
                <w:sz w:val="24"/>
                <w:szCs w:val="24"/>
              </w:rPr>
            </w:pPr>
            <w:r>
              <w:rPr>
                <w:rFonts w:hint="eastAsia" w:ascii="仿宋" w:hAnsi="仿宋" w:eastAsia="仿宋" w:cs="仿宋"/>
                <w:sz w:val="24"/>
                <w:szCs w:val="24"/>
              </w:rPr>
              <w:t>年龄段</w:t>
            </w:r>
          </w:p>
        </w:tc>
        <w:tc>
          <w:tcPr>
            <w:tcW w:w="760" w:type="dxa"/>
            <w:vAlign w:val="center"/>
          </w:tcPr>
          <w:p w14:paraId="2D9F82FE">
            <w:pPr>
              <w:spacing w:line="312" w:lineRule="auto"/>
              <w:jc w:val="center"/>
              <w:rPr>
                <w:rFonts w:ascii="仿宋" w:hAnsi="仿宋" w:eastAsia="仿宋" w:cs="仿宋"/>
                <w:sz w:val="24"/>
                <w:szCs w:val="24"/>
              </w:rPr>
            </w:pPr>
            <w:r>
              <w:rPr>
                <w:rFonts w:hint="eastAsia" w:ascii="仿宋" w:hAnsi="仿宋" w:eastAsia="仿宋" w:cs="仿宋"/>
                <w:sz w:val="24"/>
                <w:szCs w:val="24"/>
              </w:rPr>
              <w:t>设项数</w:t>
            </w:r>
          </w:p>
        </w:tc>
        <w:tc>
          <w:tcPr>
            <w:tcW w:w="2890" w:type="dxa"/>
            <w:vAlign w:val="center"/>
          </w:tcPr>
          <w:p w14:paraId="73974520">
            <w:pPr>
              <w:spacing w:line="312" w:lineRule="auto"/>
              <w:jc w:val="center"/>
              <w:rPr>
                <w:rFonts w:ascii="仿宋" w:hAnsi="仿宋" w:eastAsia="仿宋" w:cs="仿宋"/>
                <w:sz w:val="24"/>
                <w:szCs w:val="24"/>
              </w:rPr>
            </w:pPr>
            <w:r>
              <w:rPr>
                <w:rFonts w:hint="eastAsia" w:ascii="仿宋" w:hAnsi="仿宋" w:eastAsia="仿宋" w:cs="仿宋"/>
                <w:sz w:val="24"/>
                <w:szCs w:val="24"/>
              </w:rPr>
              <w:t>男子</w:t>
            </w:r>
          </w:p>
        </w:tc>
        <w:tc>
          <w:tcPr>
            <w:tcW w:w="3241" w:type="dxa"/>
            <w:vAlign w:val="center"/>
          </w:tcPr>
          <w:p w14:paraId="362D1AF4">
            <w:pPr>
              <w:spacing w:line="312" w:lineRule="auto"/>
              <w:jc w:val="center"/>
              <w:rPr>
                <w:rFonts w:ascii="仿宋" w:hAnsi="仿宋" w:eastAsia="仿宋" w:cs="仿宋"/>
                <w:sz w:val="24"/>
                <w:szCs w:val="24"/>
              </w:rPr>
            </w:pPr>
            <w:r>
              <w:rPr>
                <w:rFonts w:hint="eastAsia" w:ascii="仿宋" w:hAnsi="仿宋" w:eastAsia="仿宋" w:cs="仿宋"/>
                <w:sz w:val="24"/>
                <w:szCs w:val="24"/>
              </w:rPr>
              <w:t>女子</w:t>
            </w:r>
          </w:p>
        </w:tc>
      </w:tr>
      <w:tr w14:paraId="51FF3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vAlign w:val="center"/>
          </w:tcPr>
          <w:p w14:paraId="68BA68EE">
            <w:pPr>
              <w:spacing w:line="312" w:lineRule="auto"/>
              <w:jc w:val="center"/>
              <w:rPr>
                <w:rFonts w:ascii="仿宋" w:hAnsi="仿宋" w:eastAsia="仿宋" w:cs="仿宋"/>
                <w:sz w:val="24"/>
                <w:szCs w:val="24"/>
              </w:rPr>
            </w:pPr>
            <w:r>
              <w:rPr>
                <w:rFonts w:hint="eastAsia" w:ascii="仿宋" w:hAnsi="仿宋" w:eastAsia="仿宋" w:cs="仿宋"/>
                <w:sz w:val="24"/>
                <w:szCs w:val="24"/>
              </w:rPr>
              <w:t>A</w:t>
            </w:r>
          </w:p>
        </w:tc>
        <w:tc>
          <w:tcPr>
            <w:tcW w:w="2086" w:type="dxa"/>
            <w:vAlign w:val="center"/>
          </w:tcPr>
          <w:p w14:paraId="6A2886B4">
            <w:pPr>
              <w:spacing w:line="312" w:lineRule="auto"/>
              <w:jc w:val="center"/>
              <w:rPr>
                <w:rFonts w:ascii="仿宋" w:hAnsi="仿宋" w:eastAsia="仿宋" w:cs="仿宋"/>
                <w:sz w:val="24"/>
                <w:szCs w:val="24"/>
              </w:rPr>
            </w:pPr>
            <w:r>
              <w:rPr>
                <w:rFonts w:ascii="仿宋" w:hAnsi="仿宋" w:eastAsia="仿宋"/>
                <w:kern w:val="0"/>
                <w:sz w:val="24"/>
                <w:szCs w:val="24"/>
              </w:rPr>
              <w:t>0</w:t>
            </w:r>
            <w:r>
              <w:rPr>
                <w:rFonts w:hint="eastAsia" w:ascii="仿宋" w:hAnsi="仿宋" w:eastAsia="仿宋"/>
                <w:kern w:val="0"/>
                <w:sz w:val="24"/>
                <w:szCs w:val="24"/>
              </w:rPr>
              <w:t>8</w:t>
            </w:r>
            <w:r>
              <w:rPr>
                <w:rFonts w:ascii="仿宋" w:hAnsi="仿宋" w:eastAsia="仿宋"/>
                <w:kern w:val="0"/>
                <w:sz w:val="24"/>
                <w:szCs w:val="24"/>
              </w:rPr>
              <w:t>.9.1-</w:t>
            </w:r>
            <w:r>
              <w:rPr>
                <w:rFonts w:hint="eastAsia" w:ascii="仿宋" w:hAnsi="仿宋" w:eastAsia="仿宋"/>
                <w:kern w:val="0"/>
                <w:sz w:val="24"/>
                <w:szCs w:val="24"/>
              </w:rPr>
              <w:t>11</w:t>
            </w:r>
            <w:r>
              <w:rPr>
                <w:rFonts w:ascii="仿宋" w:hAnsi="仿宋" w:eastAsia="仿宋"/>
                <w:kern w:val="0"/>
                <w:sz w:val="24"/>
                <w:szCs w:val="24"/>
              </w:rPr>
              <w:t>.12.31</w:t>
            </w:r>
          </w:p>
        </w:tc>
        <w:tc>
          <w:tcPr>
            <w:tcW w:w="760" w:type="dxa"/>
            <w:vAlign w:val="center"/>
          </w:tcPr>
          <w:p w14:paraId="32EF4ACF">
            <w:pPr>
              <w:spacing w:line="312" w:lineRule="auto"/>
              <w:jc w:val="center"/>
              <w:rPr>
                <w:rFonts w:ascii="仿宋" w:hAnsi="仿宋" w:eastAsia="仿宋" w:cs="仿宋"/>
                <w:sz w:val="24"/>
                <w:szCs w:val="24"/>
              </w:rPr>
            </w:pPr>
            <w:r>
              <w:rPr>
                <w:rFonts w:hint="eastAsia" w:ascii="仿宋" w:hAnsi="仿宋" w:eastAsia="仿宋" w:cs="仿宋"/>
                <w:sz w:val="24"/>
                <w:szCs w:val="24"/>
              </w:rPr>
              <w:t>12</w:t>
            </w:r>
          </w:p>
        </w:tc>
        <w:tc>
          <w:tcPr>
            <w:tcW w:w="2890" w:type="dxa"/>
          </w:tcPr>
          <w:p w14:paraId="4481FD15">
            <w:pPr>
              <w:spacing w:line="312" w:lineRule="auto"/>
              <w:jc w:val="left"/>
              <w:rPr>
                <w:rFonts w:ascii="仿宋" w:hAnsi="仿宋" w:eastAsia="仿宋" w:cs="仿宋"/>
                <w:sz w:val="24"/>
                <w:szCs w:val="24"/>
              </w:rPr>
            </w:pPr>
            <w:r>
              <w:rPr>
                <w:rFonts w:hint="eastAsia" w:ascii="仿宋" w:hAnsi="仿宋" w:eastAsia="仿宋"/>
                <w:kern w:val="0"/>
                <w:szCs w:val="21"/>
              </w:rPr>
              <w:t>古典式：55公斤级、63公斤级、67公斤级、72公斤级、77公斤级、87公斤级</w:t>
            </w:r>
            <w:r>
              <w:rPr>
                <w:rFonts w:hint="eastAsia" w:ascii="仿宋" w:hAnsi="仿宋" w:eastAsia="仿宋"/>
                <w:kern w:val="0"/>
                <w:szCs w:val="21"/>
              </w:rPr>
              <w:br w:type="textWrapping"/>
            </w:r>
            <w:r>
              <w:rPr>
                <w:rFonts w:hint="eastAsia" w:ascii="仿宋" w:hAnsi="仿宋" w:eastAsia="仿宋"/>
                <w:kern w:val="0"/>
                <w:szCs w:val="21"/>
              </w:rPr>
              <w:t>自由式：57公斤级、65公斤级、79公斤级、86公斤级</w:t>
            </w:r>
          </w:p>
        </w:tc>
        <w:tc>
          <w:tcPr>
            <w:tcW w:w="3241" w:type="dxa"/>
            <w:vAlign w:val="center"/>
          </w:tcPr>
          <w:p w14:paraId="0EFC6FF4">
            <w:pPr>
              <w:spacing w:line="312" w:lineRule="auto"/>
              <w:jc w:val="center"/>
              <w:rPr>
                <w:rFonts w:ascii="仿宋" w:hAnsi="仿宋" w:eastAsia="仿宋" w:cs="仿宋"/>
                <w:sz w:val="24"/>
                <w:szCs w:val="24"/>
              </w:rPr>
            </w:pPr>
            <w:r>
              <w:rPr>
                <w:rFonts w:hint="eastAsia" w:ascii="仿宋" w:hAnsi="仿宋" w:eastAsia="仿宋"/>
                <w:kern w:val="0"/>
                <w:szCs w:val="21"/>
              </w:rPr>
              <w:t>自由式：55公斤级、68公斤级</w:t>
            </w:r>
          </w:p>
        </w:tc>
      </w:tr>
      <w:tr w14:paraId="24B2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dxa"/>
            <w:vAlign w:val="center"/>
          </w:tcPr>
          <w:p w14:paraId="4AB3DA57">
            <w:pPr>
              <w:spacing w:line="312" w:lineRule="auto"/>
              <w:jc w:val="center"/>
              <w:rPr>
                <w:rFonts w:ascii="仿宋" w:hAnsi="仿宋" w:eastAsia="仿宋" w:cs="仿宋"/>
                <w:sz w:val="24"/>
                <w:szCs w:val="24"/>
              </w:rPr>
            </w:pPr>
            <w:r>
              <w:rPr>
                <w:rFonts w:hint="eastAsia" w:ascii="仿宋" w:hAnsi="仿宋" w:eastAsia="仿宋" w:cs="仿宋"/>
                <w:sz w:val="24"/>
                <w:szCs w:val="24"/>
              </w:rPr>
              <w:t>B</w:t>
            </w:r>
          </w:p>
        </w:tc>
        <w:tc>
          <w:tcPr>
            <w:tcW w:w="2086" w:type="dxa"/>
            <w:vAlign w:val="center"/>
          </w:tcPr>
          <w:p w14:paraId="2E13689C">
            <w:pPr>
              <w:spacing w:line="312" w:lineRule="auto"/>
              <w:jc w:val="center"/>
              <w:rPr>
                <w:rFonts w:ascii="仿宋" w:hAnsi="仿宋" w:eastAsia="仿宋" w:cs="仿宋"/>
                <w:sz w:val="24"/>
                <w:szCs w:val="24"/>
              </w:rPr>
            </w:pPr>
            <w:r>
              <w:rPr>
                <w:rFonts w:hint="eastAsia" w:ascii="仿宋" w:hAnsi="仿宋" w:eastAsia="仿宋"/>
                <w:kern w:val="0"/>
                <w:sz w:val="24"/>
                <w:szCs w:val="24"/>
              </w:rPr>
              <w:t>12</w:t>
            </w:r>
            <w:r>
              <w:rPr>
                <w:rFonts w:ascii="仿宋" w:hAnsi="仿宋" w:eastAsia="仿宋"/>
                <w:kern w:val="0"/>
                <w:sz w:val="24"/>
                <w:szCs w:val="24"/>
              </w:rPr>
              <w:t>.1.1-1</w:t>
            </w:r>
            <w:r>
              <w:rPr>
                <w:rFonts w:hint="eastAsia" w:ascii="仿宋" w:hAnsi="仿宋" w:eastAsia="仿宋"/>
                <w:kern w:val="0"/>
                <w:sz w:val="24"/>
                <w:szCs w:val="24"/>
              </w:rPr>
              <w:t>4</w:t>
            </w:r>
            <w:r>
              <w:rPr>
                <w:rFonts w:ascii="仿宋" w:hAnsi="仿宋" w:eastAsia="仿宋"/>
                <w:kern w:val="0"/>
                <w:sz w:val="24"/>
                <w:szCs w:val="24"/>
              </w:rPr>
              <w:t>.12.31</w:t>
            </w:r>
          </w:p>
        </w:tc>
        <w:tc>
          <w:tcPr>
            <w:tcW w:w="760" w:type="dxa"/>
            <w:vAlign w:val="center"/>
          </w:tcPr>
          <w:p w14:paraId="491259CF">
            <w:pPr>
              <w:spacing w:line="312" w:lineRule="auto"/>
              <w:jc w:val="center"/>
              <w:rPr>
                <w:rFonts w:ascii="仿宋" w:hAnsi="仿宋" w:eastAsia="仿宋" w:cs="仿宋"/>
                <w:sz w:val="24"/>
                <w:szCs w:val="24"/>
              </w:rPr>
            </w:pPr>
            <w:r>
              <w:rPr>
                <w:rFonts w:hint="eastAsia" w:ascii="仿宋" w:hAnsi="仿宋" w:eastAsia="仿宋" w:cs="仿宋"/>
                <w:sz w:val="24"/>
                <w:szCs w:val="24"/>
              </w:rPr>
              <w:t>8</w:t>
            </w:r>
          </w:p>
        </w:tc>
        <w:tc>
          <w:tcPr>
            <w:tcW w:w="2890" w:type="dxa"/>
          </w:tcPr>
          <w:p w14:paraId="59059BB9">
            <w:pPr>
              <w:widowControl/>
              <w:jc w:val="left"/>
              <w:rPr>
                <w:rFonts w:ascii="仿宋" w:hAnsi="仿宋" w:eastAsia="仿宋"/>
                <w:kern w:val="0"/>
                <w:szCs w:val="21"/>
              </w:rPr>
            </w:pPr>
            <w:r>
              <w:rPr>
                <w:rFonts w:hint="eastAsia" w:ascii="仿宋" w:hAnsi="仿宋" w:eastAsia="仿宋"/>
                <w:kern w:val="0"/>
                <w:szCs w:val="21"/>
              </w:rPr>
              <w:t>古典式：48公斤级、60公斤级、72公斤级</w:t>
            </w:r>
          </w:p>
          <w:p w14:paraId="5457DDF7">
            <w:pPr>
              <w:spacing w:line="312" w:lineRule="auto"/>
              <w:jc w:val="left"/>
              <w:rPr>
                <w:rFonts w:ascii="仿宋" w:hAnsi="仿宋" w:eastAsia="仿宋" w:cs="仿宋"/>
                <w:sz w:val="24"/>
                <w:szCs w:val="24"/>
              </w:rPr>
            </w:pPr>
            <w:r>
              <w:rPr>
                <w:rFonts w:hint="eastAsia" w:ascii="仿宋" w:hAnsi="仿宋" w:eastAsia="仿宋"/>
                <w:kern w:val="0"/>
                <w:szCs w:val="21"/>
              </w:rPr>
              <w:t>自由式：55公斤级、65公斤级、79公斤级</w:t>
            </w:r>
          </w:p>
        </w:tc>
        <w:tc>
          <w:tcPr>
            <w:tcW w:w="3241" w:type="dxa"/>
            <w:vAlign w:val="center"/>
          </w:tcPr>
          <w:p w14:paraId="5882B2F1">
            <w:pPr>
              <w:spacing w:line="312" w:lineRule="auto"/>
              <w:jc w:val="center"/>
              <w:rPr>
                <w:rFonts w:ascii="仿宋" w:hAnsi="仿宋" w:eastAsia="仿宋" w:cs="仿宋"/>
                <w:sz w:val="24"/>
                <w:szCs w:val="24"/>
              </w:rPr>
            </w:pPr>
            <w:r>
              <w:rPr>
                <w:rFonts w:hint="eastAsia" w:ascii="仿宋" w:hAnsi="仿宋" w:eastAsia="仿宋"/>
                <w:kern w:val="0"/>
                <w:szCs w:val="21"/>
              </w:rPr>
              <w:t>自由式：49公斤级、61公斤级</w:t>
            </w:r>
          </w:p>
        </w:tc>
      </w:tr>
    </w:tbl>
    <w:p w14:paraId="35FF26E4">
      <w:pPr>
        <w:pStyle w:val="13"/>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kern w:val="18"/>
          <w:sz w:val="28"/>
          <w:szCs w:val="28"/>
        </w:rPr>
      </w:pPr>
      <w:r>
        <w:rPr>
          <w:rFonts w:hint="eastAsia" w:ascii="仿宋" w:hAnsi="仿宋" w:eastAsia="仿宋" w:cs="仿宋"/>
          <w:b/>
          <w:color w:val="auto"/>
          <w:kern w:val="18"/>
          <w:sz w:val="28"/>
          <w:szCs w:val="28"/>
        </w:rPr>
        <w:t>八、参赛资格</w:t>
      </w:r>
    </w:p>
    <w:p w14:paraId="7B68B0A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16AAB0C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D22B98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（三）参赛运动员必须是2026年在本市有效注册的青少年运动员，并持本人当年有效的《上海市青少年运动员注册卡》参赛。</w:t>
      </w:r>
    </w:p>
    <w:p w14:paraId="1D3931B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（四）参赛运动员应有</w:t>
      </w:r>
      <w:r>
        <w:rPr>
          <w:rFonts w:hint="eastAsia" w:ascii="仿宋" w:hAnsi="仿宋" w:eastAsia="仿宋" w:cs="仿宋_GB2312"/>
          <w:sz w:val="28"/>
          <w:szCs w:val="28"/>
        </w:rPr>
        <w:t>区级以上医院</w:t>
      </w:r>
      <w:r>
        <w:rPr>
          <w:rFonts w:hint="eastAsia" w:ascii="仿宋" w:hAnsi="仿宋" w:eastAsia="仿宋" w:cs="仿宋"/>
          <w:sz w:val="28"/>
          <w:szCs w:val="28"/>
        </w:rPr>
        <w:t>出具的健康证明（心电图、脑电图检验报告）和比赛期间的意外伤残保险证明。</w:t>
      </w:r>
    </w:p>
    <w:p w14:paraId="154D3B6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（五）参赛运动员须达到2026年上海市摔跤二线体能测试赛准入标准分（30分）且专项技能测试（计时布袋提抱过胸摔；计时30秒双手持杠铃片坐姿左右摆）的各项目需满足8分（含8分）分值的运动员方可参赛。</w:t>
      </w:r>
    </w:p>
    <w:p w14:paraId="4EED185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（八）本市市属青少年高水平运动队在编运动员代表注册单位参赛。</w:t>
      </w:r>
    </w:p>
    <w:p w14:paraId="4B5008E9">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（九）</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2A52CED0">
      <w:pPr>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（十）举重、摔跤两个项目作为主项不得和本项目外的其他任何项目兼项参赛，其他项目作为主项可以兼项举重、摔跤参赛。</w:t>
      </w:r>
    </w:p>
    <w:p w14:paraId="0AD7514F">
      <w:pPr>
        <w:pStyle w:val="13"/>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sz w:val="28"/>
          <w:szCs w:val="28"/>
        </w:rPr>
      </w:pPr>
      <w:r>
        <w:rPr>
          <w:rFonts w:hint="eastAsia" w:ascii="仿宋" w:hAnsi="仿宋" w:eastAsia="仿宋" w:cs="仿宋"/>
          <w:b/>
          <w:color w:val="auto"/>
          <w:sz w:val="28"/>
          <w:szCs w:val="28"/>
        </w:rPr>
        <w:t>九、参加办法</w:t>
      </w:r>
    </w:p>
    <w:p w14:paraId="6E6C5EB4">
      <w:pPr>
        <w:pStyle w:val="13"/>
        <w:widowControl w:val="0"/>
        <w:adjustRightInd w:val="0"/>
        <w:snapToGrid w:val="0"/>
        <w:spacing w:before="0" w:beforeAutospacing="0" w:after="0" w:afterAutospacing="0" w:line="540" w:lineRule="exact"/>
        <w:ind w:firstLine="560" w:firstLineChars="200"/>
        <w:jc w:val="both"/>
        <w:textAlignment w:val="center"/>
        <w:rPr>
          <w:rFonts w:ascii="仿宋" w:hAnsi="仿宋" w:eastAsia="仿宋" w:cs="仿宋"/>
          <w:color w:val="auto"/>
          <w:sz w:val="28"/>
          <w:szCs w:val="28"/>
        </w:rPr>
      </w:pPr>
      <w:r>
        <w:rPr>
          <w:rFonts w:hint="eastAsia" w:ascii="仿宋" w:hAnsi="仿宋" w:eastAsia="仿宋" w:cs="仿宋"/>
          <w:color w:val="auto"/>
          <w:sz w:val="28"/>
          <w:szCs w:val="28"/>
        </w:rPr>
        <w:t>（一）各参赛单位限报1个队，每队可报领队1人</w:t>
      </w:r>
      <w:r>
        <w:rPr>
          <w:rFonts w:hint="eastAsia" w:ascii="仿宋" w:hAnsi="仿宋" w:eastAsia="仿宋" w:cs="仿宋"/>
          <w:color w:val="auto"/>
          <w:spacing w:val="-4"/>
          <w:sz w:val="28"/>
          <w:szCs w:val="28"/>
        </w:rPr>
        <w:t>，</w:t>
      </w:r>
      <w:r>
        <w:rPr>
          <w:rFonts w:hint="eastAsia" w:ascii="仿宋" w:hAnsi="仿宋" w:eastAsia="仿宋" w:cs="仿宋"/>
          <w:color w:val="auto"/>
          <w:sz w:val="28"/>
          <w:szCs w:val="28"/>
        </w:rPr>
        <w:t>教练员1-3人。本届市运会教练员须是2026年在本市有效注册的青训教练员，方可报名参赛，</w:t>
      </w:r>
      <w:r>
        <w:rPr>
          <w:rFonts w:hint="eastAsia" w:ascii="仿宋" w:hAnsi="仿宋" w:eastAsia="仿宋" w:cs="仿宋_GB2312"/>
          <w:color w:val="auto"/>
          <w:sz w:val="28"/>
          <w:szCs w:val="28"/>
        </w:rPr>
        <w:t>同时须完成当年度教练员岗位培训班并经</w:t>
      </w:r>
      <w:bookmarkStart w:id="3" w:name="_GoBack"/>
      <w:bookmarkEnd w:id="3"/>
      <w:r>
        <w:rPr>
          <w:rFonts w:hint="eastAsia" w:ascii="仿宋" w:hAnsi="仿宋" w:eastAsia="仿宋" w:cs="仿宋_GB2312"/>
          <w:color w:val="auto"/>
          <w:sz w:val="28"/>
          <w:szCs w:val="28"/>
        </w:rPr>
        <w:t>审核通过</w:t>
      </w:r>
      <w:r>
        <w:rPr>
          <w:rFonts w:hint="eastAsia" w:ascii="仿宋" w:hAnsi="仿宋" w:eastAsia="仿宋" w:cs="仿宋"/>
          <w:color w:val="auto"/>
          <w:sz w:val="28"/>
          <w:szCs w:val="28"/>
        </w:rPr>
        <w:t>。</w:t>
      </w:r>
    </w:p>
    <w:p w14:paraId="53D119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_GB2312"/>
          <w:sz w:val="28"/>
          <w:szCs w:val="28"/>
        </w:rPr>
        <w:t>各参赛单位报名运动员总数不超过80人，</w:t>
      </w:r>
      <w:r>
        <w:rPr>
          <w:rFonts w:hint="eastAsia" w:ascii="仿宋" w:hAnsi="仿宋" w:eastAsia="仿宋" w:cs="仿宋"/>
          <w:sz w:val="28"/>
          <w:szCs w:val="28"/>
        </w:rPr>
        <w:t>各组别各级别限报运动员6名，男子古典式和自由式不得兼项。各队报名表上报后不得更换参赛级别。</w:t>
      </w:r>
    </w:p>
    <w:p w14:paraId="1C76306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（三）各组别交流运动员报名人数不超过该组别实际报名人数的30%（按四舍五入计）。</w:t>
      </w:r>
    </w:p>
    <w:p w14:paraId="230434F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（四）报名运动员按照报名体重级别进行称重，只允许参加一个级别的比赛，即与正式称量体重时相对应的体重级别。</w:t>
      </w:r>
    </w:p>
    <w:p w14:paraId="531908A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单位通过大会指定的网站www.aijingsai.cn（上海青少年体育赛事网）进行网上报名，并在规定时间内将导出打印的报名表加盖公章后，一式两份报大会组委会竞赛部（地址：徐汇区零陵路800号8楼，竞赛部，31211118）。</w:t>
      </w:r>
    </w:p>
    <w:p w14:paraId="1AF1163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（六）各参赛单位须为参赛运动员办理人身意外伤害保险。</w:t>
      </w:r>
    </w:p>
    <w:p w14:paraId="5FF2531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（七）抽签与领队教练联席会议由竞委会另行通知。</w:t>
      </w:r>
    </w:p>
    <w:p w14:paraId="724D89B9">
      <w:pPr>
        <w:pStyle w:val="13"/>
        <w:widowControl w:val="0"/>
        <w:adjustRightInd w:val="0"/>
        <w:snapToGrid w:val="0"/>
        <w:spacing w:before="0" w:beforeAutospacing="0" w:after="0" w:afterAutospacing="0" w:line="540" w:lineRule="exact"/>
        <w:ind w:firstLine="562" w:firstLineChars="200"/>
        <w:jc w:val="both"/>
        <w:textAlignment w:val="center"/>
        <w:rPr>
          <w:rFonts w:ascii="仿宋" w:hAnsi="仿宋" w:eastAsia="仿宋" w:cs="仿宋"/>
          <w:b/>
          <w:color w:val="auto"/>
          <w:sz w:val="28"/>
          <w:szCs w:val="28"/>
        </w:rPr>
      </w:pPr>
      <w:r>
        <w:rPr>
          <w:rFonts w:hint="eastAsia" w:ascii="仿宋" w:hAnsi="仿宋" w:eastAsia="仿宋" w:cs="仿宋"/>
          <w:b/>
          <w:color w:val="auto"/>
          <w:sz w:val="28"/>
          <w:szCs w:val="28"/>
        </w:rPr>
        <w:t>十、竞赛办法</w:t>
      </w:r>
    </w:p>
    <w:p w14:paraId="1D6006E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（一）采用中国摔跤协会审定的最新竞赛规则及相关补充规定。</w:t>
      </w:r>
    </w:p>
    <w:p w14:paraId="2DBEFD2F">
      <w:pPr>
        <w:tabs>
          <w:tab w:val="left" w:pos="3885"/>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_GB2312"/>
          <w:sz w:val="28"/>
          <w:szCs w:val="28"/>
        </w:rPr>
        <w:t>（二）各组别各级别3人</w:t>
      </w:r>
      <w:r>
        <w:rPr>
          <w:rFonts w:hint="eastAsia" w:ascii="仿宋" w:hAnsi="仿宋" w:eastAsia="仿宋" w:cs="仿宋"/>
          <w:sz w:val="28"/>
          <w:szCs w:val="28"/>
        </w:rPr>
        <w:t>采用</w:t>
      </w:r>
      <w:r>
        <w:rPr>
          <w:rFonts w:hint="eastAsia" w:ascii="仿宋" w:hAnsi="仿宋" w:eastAsia="仿宋" w:cs="仿宋_GB2312"/>
          <w:sz w:val="28"/>
          <w:szCs w:val="28"/>
        </w:rPr>
        <w:t>循环赛制，4人及以上</w:t>
      </w:r>
      <w:r>
        <w:rPr>
          <w:rFonts w:hint="eastAsia" w:ascii="仿宋" w:hAnsi="仿宋" w:eastAsia="仿宋" w:cs="仿宋"/>
          <w:sz w:val="28"/>
          <w:szCs w:val="28"/>
        </w:rPr>
        <w:t>比赛采用单败淘汰单复活赛制，分别进行资格赛，淘汰赛，胜者继续比赛，直至剩下2人参加冠亚军决赛。负于冠，亚军者进入复活赛，按照运动员被淘汰的轮次逐级进行比赛，直至剩下2名运动员，与淘汰赛二分之一轮次的负者分别进行争夺该级别第三至五名的比赛。</w:t>
      </w:r>
    </w:p>
    <w:p w14:paraId="48B0D05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(三)比赛时间：A组每场比赛2局每局3分钟</w:t>
      </w:r>
      <w:r>
        <w:rPr>
          <w:rFonts w:hint="eastAsia" w:ascii="仿宋" w:hAnsi="仿宋" w:eastAsia="仿宋" w:cs="仿宋"/>
          <w:kern w:val="0"/>
          <w:sz w:val="28"/>
          <w:szCs w:val="28"/>
        </w:rPr>
        <w:t>,中间休息30秒。B组每场比赛2局每局2分钟，中间休息30秒。</w:t>
      </w:r>
    </w:p>
    <w:p w14:paraId="6BF66E0C">
      <w:pPr>
        <w:tabs>
          <w:tab w:val="left" w:pos="3885"/>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cs="仿宋"/>
          <w:kern w:val="0"/>
          <w:sz w:val="28"/>
          <w:szCs w:val="28"/>
        </w:rPr>
        <w:t>同单位</w:t>
      </w:r>
      <w:r>
        <w:rPr>
          <w:rFonts w:hint="eastAsia" w:ascii="仿宋" w:hAnsi="仿宋" w:eastAsia="仿宋" w:cs="仿宋_GB2312"/>
          <w:sz w:val="28"/>
          <w:szCs w:val="28"/>
        </w:rPr>
        <w:t>同一级别的多名运动员随机</w:t>
      </w:r>
      <w:r>
        <w:rPr>
          <w:rFonts w:hint="eastAsia" w:ascii="仿宋" w:hAnsi="仿宋" w:eastAsia="仿宋" w:cs="仿宋"/>
          <w:bCs/>
          <w:sz w:val="28"/>
          <w:szCs w:val="28"/>
        </w:rPr>
        <w:t>分上、下两区编排方式</w:t>
      </w:r>
      <w:r>
        <w:rPr>
          <w:rFonts w:hint="eastAsia" w:ascii="仿宋" w:hAnsi="仿宋" w:eastAsia="仿宋" w:cs="仿宋"/>
          <w:sz w:val="28"/>
          <w:szCs w:val="28"/>
        </w:rPr>
        <w:t>。本次比赛不设种子选手。</w:t>
      </w:r>
    </w:p>
    <w:p w14:paraId="2F30B40B">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_GB2312"/>
          <w:sz w:val="28"/>
          <w:szCs w:val="28"/>
        </w:rPr>
        <w:t>（五）抽签将釆取电脑抽签，抽签安排在领队会之后。</w:t>
      </w:r>
    </w:p>
    <w:p w14:paraId="15414E30">
      <w:pPr>
        <w:adjustRightInd w:val="0"/>
        <w:snapToGrid w:val="0"/>
        <w:spacing w:line="540" w:lineRule="exact"/>
        <w:ind w:firstLine="560" w:firstLineChars="200"/>
        <w:rPr>
          <w:rFonts w:ascii="仿宋" w:hAnsi="仿宋" w:eastAsia="仿宋" w:cs="仿宋"/>
          <w:sz w:val="28"/>
          <w:szCs w:val="28"/>
        </w:rPr>
      </w:pPr>
      <w:bookmarkStart w:id="0" w:name="bookmark22"/>
      <w:r>
        <w:rPr>
          <w:rFonts w:hint="eastAsia" w:ascii="仿宋" w:hAnsi="仿宋" w:eastAsia="仿宋" w:cs="仿宋"/>
          <w:sz w:val="28"/>
          <w:szCs w:val="28"/>
        </w:rPr>
        <w:t>（</w:t>
      </w:r>
      <w:bookmarkEnd w:id="0"/>
      <w:r>
        <w:rPr>
          <w:rFonts w:hint="eastAsia" w:ascii="仿宋" w:hAnsi="仿宋" w:eastAsia="仿宋" w:cs="仿宋"/>
          <w:sz w:val="28"/>
          <w:szCs w:val="28"/>
        </w:rPr>
        <w:t>六）</w:t>
      </w:r>
      <w:r>
        <w:rPr>
          <w:rFonts w:hint="eastAsia" w:ascii="仿宋" w:hAnsi="仿宋" w:eastAsia="仿宋" w:cs="仿宋_GB2312"/>
          <w:sz w:val="28"/>
          <w:szCs w:val="28"/>
        </w:rPr>
        <w:t>运动员正式称重（古典式、自由式所有级别）将被安排在比赛前一天一次完成（具体时间另行通知）,</w:t>
      </w:r>
      <w:r>
        <w:rPr>
          <w:rFonts w:hint="eastAsia" w:ascii="仿宋" w:hAnsi="仿宋" w:eastAsia="仿宋" w:cs="仿宋"/>
          <w:sz w:val="28"/>
          <w:szCs w:val="28"/>
        </w:rPr>
        <w:t>各级别称重时间限制30分钟。不参加称重和超过称重时间的运动员将被取消比赛资格。</w:t>
      </w:r>
    </w:p>
    <w:p w14:paraId="4E98DD8C">
      <w:pPr>
        <w:adjustRightInd w:val="0"/>
        <w:snapToGrid w:val="0"/>
        <w:spacing w:line="540" w:lineRule="exact"/>
        <w:ind w:firstLine="560" w:firstLineChars="200"/>
        <w:rPr>
          <w:rFonts w:ascii="仿宋" w:hAnsi="仿宋" w:eastAsia="仿宋" w:cs="仿宋_GB2312"/>
          <w:sz w:val="28"/>
          <w:szCs w:val="28"/>
        </w:rPr>
      </w:pPr>
      <w:bookmarkStart w:id="1" w:name="bookmark23"/>
      <w:r>
        <w:rPr>
          <w:rFonts w:hint="eastAsia" w:ascii="仿宋" w:hAnsi="仿宋" w:eastAsia="仿宋" w:cs="仿宋"/>
          <w:sz w:val="28"/>
          <w:szCs w:val="28"/>
        </w:rPr>
        <w:t>（</w:t>
      </w:r>
      <w:bookmarkEnd w:id="1"/>
      <w:r>
        <w:rPr>
          <w:rFonts w:hint="eastAsia" w:ascii="仿宋" w:hAnsi="仿宋" w:eastAsia="仿宋" w:cs="仿宋"/>
          <w:sz w:val="28"/>
          <w:szCs w:val="28"/>
        </w:rPr>
        <w:t>七）</w:t>
      </w:r>
      <w:r>
        <w:rPr>
          <w:rFonts w:hint="eastAsia" w:ascii="仿宋" w:hAnsi="仿宋" w:eastAsia="仿宋" w:cs="仿宋_GB2312"/>
          <w:sz w:val="28"/>
          <w:szCs w:val="28"/>
        </w:rPr>
        <w:t>运动员参赛必须穿干净、整洁、无破损的红色、蓝色摔跤服， 摔跤服的尺寸大小必须符合规则要求。</w:t>
      </w:r>
    </w:p>
    <w:p w14:paraId="3BBD26B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（八）各项目各级别参赛少于2个参赛单位3人(队)，均不安排比赛。</w:t>
      </w:r>
    </w:p>
    <w:p w14:paraId="625F624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_GB2312"/>
          <w:sz w:val="28"/>
          <w:szCs w:val="28"/>
        </w:rPr>
        <w:t>（九）弃权规定：运动员（队）在报名后，因伤、病不能参赛的，赛前应出具二级甲等及以上医院病假单（因事不能参赛的，则出具书面说明），经参赛单位盖章，负责人签字确认；因参加全国比赛、集训等事宜不能参赛的，赛前应出具项目中心等相关单位出具的证明（盖章）,分管领导签字确认，否则将被认定无故弃权，并取消该运动员本次比赛的所有成绩。运动员在比赛过程中因伤弃权，须由主教练在申请表上签字，可保留成绩；运动员如无故弃权，将取消其成绩。</w:t>
      </w:r>
    </w:p>
    <w:p w14:paraId="2DDF5B2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十一、录取名次、计牌计分和奖励办法</w:t>
      </w:r>
    </w:p>
    <w:p w14:paraId="42E57A1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（一）各级别录取前八名</w:t>
      </w:r>
      <w:r>
        <w:rPr>
          <w:rFonts w:ascii="仿宋" w:hAnsi="仿宋" w:eastAsia="仿宋" w:cs="仿宋"/>
          <w:sz w:val="28"/>
          <w:szCs w:val="28"/>
        </w:rPr>
        <w:t>（第三、五</w:t>
      </w:r>
      <w:r>
        <w:rPr>
          <w:rFonts w:hint="eastAsia" w:ascii="仿宋" w:hAnsi="仿宋" w:eastAsia="仿宋" w:cs="仿宋"/>
          <w:sz w:val="28"/>
          <w:szCs w:val="28"/>
        </w:rPr>
        <w:t>、</w:t>
      </w:r>
      <w:r>
        <w:rPr>
          <w:rFonts w:ascii="仿宋" w:hAnsi="仿宋" w:eastAsia="仿宋" w:cs="仿宋"/>
          <w:sz w:val="28"/>
          <w:szCs w:val="28"/>
        </w:rPr>
        <w:t>七名并列）</w:t>
      </w:r>
      <w:r>
        <w:rPr>
          <w:rFonts w:hint="eastAsia" w:ascii="仿宋" w:hAnsi="仿宋" w:eastAsia="仿宋" w:cs="仿宋"/>
          <w:sz w:val="28"/>
          <w:szCs w:val="28"/>
        </w:rPr>
        <w:t>；不足8名参赛的,按实际参赛人数录取名次和计分。</w:t>
      </w:r>
    </w:p>
    <w:p w14:paraId="24E25D3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（二）各级别前三名依次按0.5金、0.5银、0.5铜计牌，前八名依次按11、9、8、7、6、5、4、3计分（如名次并列，则按并列的两个或几个名次分相加后的平均分）。</w:t>
      </w:r>
    </w:p>
    <w:p w14:paraId="0ACFF65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_GB2312"/>
          <w:sz w:val="28"/>
          <w:szCs w:val="28"/>
        </w:rPr>
        <w:t>开展“体育道德风尚奖”评选活动，按照本届运动会竞赛规程总则的有关规定执行</w:t>
      </w:r>
      <w:r>
        <w:rPr>
          <w:rFonts w:hint="eastAsia" w:ascii="仿宋" w:hAnsi="仿宋" w:eastAsia="仿宋" w:cs="仿宋"/>
          <w:sz w:val="28"/>
          <w:szCs w:val="28"/>
        </w:rPr>
        <w:t>。</w:t>
      </w:r>
    </w:p>
    <w:p w14:paraId="7F5452C1">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22E5039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（一）申诉</w:t>
      </w:r>
    </w:p>
    <w:p w14:paraId="2CBAEFB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每名运动员在每场比赛中有一次申诉机会。如果技术代表改变原判罚，运动员申诉成功，则该运动员继续保留一次申诉机会；如果技术代表维持原判，该运动员将不再有机会申诉，其对手将相应增加1 分技术分。 </w:t>
      </w:r>
    </w:p>
    <w:p w14:paraId="191F659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在规定比赛时间结束后分数显示在记分牌上，可以申诉。教练员要在运动员结束正在进行的动作至中立状态10秒以内进行申诉。 </w:t>
      </w:r>
    </w:p>
    <w:p w14:paraId="5367AE7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录像回放复议后，该决定将成为最终判罚。技术代表可在任何时候介入比赛并做出决定，他的决定是最终且不可逆的，教练员不可再次提出申诉。</w:t>
      </w:r>
    </w:p>
    <w:p w14:paraId="660114C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（二）纪律</w:t>
      </w:r>
    </w:p>
    <w:p w14:paraId="30712CE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07823819">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60DF51C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0C7933F3">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sz w:val="28"/>
          <w:szCs w:val="28"/>
        </w:rPr>
        <w:t>十四、运动员技术等级授予</w:t>
      </w:r>
    </w:p>
    <w:p w14:paraId="7DA010CC">
      <w:pPr>
        <w:adjustRightInd w:val="0"/>
        <w:snapToGrid w:val="0"/>
        <w:spacing w:line="440" w:lineRule="exact"/>
        <w:ind w:firstLine="560" w:firstLineChars="200"/>
        <w:rPr>
          <w:rFonts w:ascii="仿宋" w:hAnsi="仿宋" w:eastAsia="仿宋" w:cs="仿宋_GB2312"/>
          <w:sz w:val="28"/>
          <w:szCs w:val="28"/>
        </w:rPr>
      </w:pPr>
      <w:r>
        <w:rPr>
          <w:rFonts w:hint="eastAsia" w:ascii="仿宋" w:hAnsi="仿宋" w:eastAsia="仿宋" w:cs="仿宋"/>
          <w:bCs/>
          <w:sz w:val="28"/>
          <w:szCs w:val="28"/>
        </w:rPr>
        <w:t>（一）本次比赛为2026年国家体育总局公布的可授予运动员技术等级称号赛事，本次比赛A组为可授予运动员技术等级的组别，具体标准按国家体育总局最新发布的《摔跤项目运动员技术等级标准》执行。</w:t>
      </w:r>
      <w:r>
        <w:rPr>
          <w:rFonts w:hint="eastAsia" w:ascii="仿宋" w:hAnsi="仿宋" w:eastAsia="仿宋" w:cs="仿宋_GB2312"/>
          <w:sz w:val="28"/>
          <w:szCs w:val="28"/>
        </w:rPr>
        <w:t>可授予技术等级的小项包括：</w:t>
      </w:r>
    </w:p>
    <w:p w14:paraId="7F6F3353">
      <w:pPr>
        <w:adjustRightInd w:val="0"/>
        <w:snapToGrid w:val="0"/>
        <w:spacing w:line="440" w:lineRule="exact"/>
        <w:ind w:firstLine="560" w:firstLineChars="200"/>
        <w:rPr>
          <w:rFonts w:ascii="仿宋" w:hAnsi="仿宋" w:eastAsia="仿宋" w:cs="仿宋"/>
          <w:bCs/>
          <w:sz w:val="28"/>
          <w:szCs w:val="28"/>
        </w:rPr>
      </w:pPr>
      <w:r>
        <w:rPr>
          <w:rFonts w:hint="eastAsia" w:ascii="仿宋" w:hAnsi="仿宋" w:eastAsia="仿宋" w:cs="仿宋"/>
          <w:bCs/>
          <w:sz w:val="28"/>
          <w:szCs w:val="28"/>
        </w:rPr>
        <w:t>男子古典式：55公斤级、63公斤级、67公斤级、72公斤级、77公斤级、87公斤级。</w:t>
      </w:r>
      <w:r>
        <w:rPr>
          <w:rFonts w:hint="eastAsia" w:ascii="仿宋" w:hAnsi="仿宋" w:eastAsia="仿宋" w:cs="仿宋"/>
          <w:bCs/>
          <w:sz w:val="28"/>
          <w:szCs w:val="28"/>
        </w:rPr>
        <w:br w:type="textWrapping"/>
      </w:r>
      <w:r>
        <w:rPr>
          <w:rFonts w:hint="eastAsia" w:ascii="仿宋" w:hAnsi="仿宋" w:eastAsia="仿宋" w:cs="仿宋"/>
          <w:bCs/>
          <w:sz w:val="28"/>
          <w:szCs w:val="28"/>
        </w:rPr>
        <w:t xml:space="preserve">    男子自由式：57公斤级、65公斤级、79公斤级、86公斤级。</w:t>
      </w:r>
    </w:p>
    <w:p w14:paraId="447955D7">
      <w:pPr>
        <w:adjustRightInd w:val="0"/>
        <w:snapToGrid w:val="0"/>
        <w:spacing w:line="440" w:lineRule="exact"/>
        <w:ind w:firstLine="560" w:firstLineChars="200"/>
        <w:rPr>
          <w:rFonts w:ascii="仿宋" w:hAnsi="仿宋" w:eastAsia="仿宋" w:cs="仿宋"/>
          <w:bCs/>
          <w:sz w:val="28"/>
          <w:szCs w:val="28"/>
        </w:rPr>
      </w:pPr>
      <w:r>
        <w:rPr>
          <w:rFonts w:hint="eastAsia" w:ascii="仿宋" w:hAnsi="仿宋" w:eastAsia="仿宋" w:cs="仿宋"/>
          <w:bCs/>
          <w:sz w:val="28"/>
          <w:szCs w:val="28"/>
        </w:rPr>
        <w:t>女子自由式：55公斤级、68公斤级。</w:t>
      </w:r>
    </w:p>
    <w:p w14:paraId="045777A3">
      <w:pPr>
        <w:widowControl/>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（二）省级比赛各小项须至少有9人上场比赛，方可授予等级称号。</w:t>
      </w:r>
    </w:p>
    <w:p w14:paraId="52F372ED">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十五、其他</w:t>
      </w:r>
    </w:p>
    <w:p w14:paraId="3214C47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sz w:val="28"/>
          <w:szCs w:val="28"/>
        </w:rPr>
      </w:pPr>
      <w:bookmarkStart w:id="2"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2"/>
    </w:p>
    <w:p w14:paraId="17ECEF87">
      <w:pPr>
        <w:adjustRightInd w:val="0"/>
        <w:snapToGrid w:val="0"/>
        <w:spacing w:line="540" w:lineRule="exact"/>
        <w:ind w:firstLine="560" w:firstLineChars="200"/>
        <w:rPr>
          <w:rFonts w:ascii="宋体" w:hAnsi="宋体"/>
          <w:b/>
          <w:sz w:val="28"/>
        </w:rPr>
      </w:pPr>
      <w:r>
        <w:rPr>
          <w:rFonts w:hint="eastAsia" w:ascii="仿宋" w:hAnsi="仿宋" w:eastAsia="仿宋" w:cs="仿宋"/>
          <w:sz w:val="28"/>
          <w:szCs w:val="28"/>
        </w:rPr>
        <w:t>（三）未尽事宜，另行通知。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7DF46">
    <w:pPr>
      <w:pStyle w:val="4"/>
      <w:jc w:val="center"/>
    </w:pPr>
    <w:r>
      <w:fldChar w:fldCharType="begin"/>
    </w:r>
    <w:r>
      <w:rPr>
        <w:rStyle w:val="10"/>
      </w:rPr>
      <w:instrText xml:space="preserve"> PAGE </w:instrText>
    </w:r>
    <w:r>
      <w:fldChar w:fldCharType="separate"/>
    </w:r>
    <w:r>
      <w:rPr>
        <w:rStyle w:val="10"/>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FA308">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0ZmMxZDEyMTZlZjI0OWQyZjdkMGM0MmMxMmVmY2IifQ=="/>
  </w:docVars>
  <w:rsids>
    <w:rsidRoot w:val="00172A27"/>
    <w:rsid w:val="00172A27"/>
    <w:rsid w:val="00233798"/>
    <w:rsid w:val="002F6D79"/>
    <w:rsid w:val="0043628A"/>
    <w:rsid w:val="0094794C"/>
    <w:rsid w:val="00E57192"/>
    <w:rsid w:val="0185755D"/>
    <w:rsid w:val="02045290"/>
    <w:rsid w:val="025C4E4C"/>
    <w:rsid w:val="028C48B2"/>
    <w:rsid w:val="02FE031F"/>
    <w:rsid w:val="03F4597C"/>
    <w:rsid w:val="053E758C"/>
    <w:rsid w:val="05413619"/>
    <w:rsid w:val="059A236E"/>
    <w:rsid w:val="06FE3336"/>
    <w:rsid w:val="07C05D98"/>
    <w:rsid w:val="082A5A09"/>
    <w:rsid w:val="08324478"/>
    <w:rsid w:val="08737109"/>
    <w:rsid w:val="09883143"/>
    <w:rsid w:val="09A16D40"/>
    <w:rsid w:val="09DA59D1"/>
    <w:rsid w:val="0A1F42DD"/>
    <w:rsid w:val="0A6E24A7"/>
    <w:rsid w:val="0AAB5496"/>
    <w:rsid w:val="0B210E63"/>
    <w:rsid w:val="0B6916EC"/>
    <w:rsid w:val="0C766658"/>
    <w:rsid w:val="0CF550D2"/>
    <w:rsid w:val="0D4C7B68"/>
    <w:rsid w:val="0D593F30"/>
    <w:rsid w:val="0D8A5080"/>
    <w:rsid w:val="0DE65047"/>
    <w:rsid w:val="0E014734"/>
    <w:rsid w:val="0E3C3406"/>
    <w:rsid w:val="0E80240A"/>
    <w:rsid w:val="0EB45796"/>
    <w:rsid w:val="0F002BA9"/>
    <w:rsid w:val="0FE4144E"/>
    <w:rsid w:val="0FF3619B"/>
    <w:rsid w:val="117874EE"/>
    <w:rsid w:val="11DA5E54"/>
    <w:rsid w:val="11F60F95"/>
    <w:rsid w:val="12146CDD"/>
    <w:rsid w:val="12295EFC"/>
    <w:rsid w:val="123B1F4A"/>
    <w:rsid w:val="12783DC4"/>
    <w:rsid w:val="128422A5"/>
    <w:rsid w:val="12972133"/>
    <w:rsid w:val="12B27FA6"/>
    <w:rsid w:val="12EE7684"/>
    <w:rsid w:val="133E32C0"/>
    <w:rsid w:val="13957E00"/>
    <w:rsid w:val="139D7064"/>
    <w:rsid w:val="142E4E19"/>
    <w:rsid w:val="14B950A7"/>
    <w:rsid w:val="14D73433"/>
    <w:rsid w:val="159A786A"/>
    <w:rsid w:val="166D5C8F"/>
    <w:rsid w:val="16B267EC"/>
    <w:rsid w:val="16F379C1"/>
    <w:rsid w:val="16FC55F7"/>
    <w:rsid w:val="181E1CF4"/>
    <w:rsid w:val="18BD3BE5"/>
    <w:rsid w:val="1A0E61B1"/>
    <w:rsid w:val="1A3F19AC"/>
    <w:rsid w:val="1B7F6C3C"/>
    <w:rsid w:val="1C166EA4"/>
    <w:rsid w:val="1C1C093E"/>
    <w:rsid w:val="1D033ECF"/>
    <w:rsid w:val="1D2E2C46"/>
    <w:rsid w:val="1D6905A0"/>
    <w:rsid w:val="1DDB72C0"/>
    <w:rsid w:val="1E202070"/>
    <w:rsid w:val="1E6C4E97"/>
    <w:rsid w:val="1F822982"/>
    <w:rsid w:val="1FA70A4B"/>
    <w:rsid w:val="207A36CA"/>
    <w:rsid w:val="20A14E24"/>
    <w:rsid w:val="20BB6D53"/>
    <w:rsid w:val="214B76EF"/>
    <w:rsid w:val="215B5775"/>
    <w:rsid w:val="21FB3243"/>
    <w:rsid w:val="22BB6814"/>
    <w:rsid w:val="22C01F65"/>
    <w:rsid w:val="25260E2B"/>
    <w:rsid w:val="25C12A21"/>
    <w:rsid w:val="26A12BDA"/>
    <w:rsid w:val="26AE7831"/>
    <w:rsid w:val="26D85F1B"/>
    <w:rsid w:val="274F6173"/>
    <w:rsid w:val="28C114D4"/>
    <w:rsid w:val="2969197F"/>
    <w:rsid w:val="29C3746E"/>
    <w:rsid w:val="2AB7445F"/>
    <w:rsid w:val="2ACC0806"/>
    <w:rsid w:val="2AD71BE0"/>
    <w:rsid w:val="2AE74F35"/>
    <w:rsid w:val="2B09181B"/>
    <w:rsid w:val="2BB041CA"/>
    <w:rsid w:val="2C5348C6"/>
    <w:rsid w:val="2DA62FF1"/>
    <w:rsid w:val="2DB441A2"/>
    <w:rsid w:val="2E165B5F"/>
    <w:rsid w:val="2E637258"/>
    <w:rsid w:val="2F0B1046"/>
    <w:rsid w:val="2F624EFC"/>
    <w:rsid w:val="2FB36730"/>
    <w:rsid w:val="2FE14345"/>
    <w:rsid w:val="2FE90B0E"/>
    <w:rsid w:val="31644989"/>
    <w:rsid w:val="330F283F"/>
    <w:rsid w:val="33286888"/>
    <w:rsid w:val="333B4996"/>
    <w:rsid w:val="33A6424F"/>
    <w:rsid w:val="34856DB9"/>
    <w:rsid w:val="34C3321F"/>
    <w:rsid w:val="354A715E"/>
    <w:rsid w:val="357110B4"/>
    <w:rsid w:val="35A009C1"/>
    <w:rsid w:val="369656B5"/>
    <w:rsid w:val="36B60DD3"/>
    <w:rsid w:val="37543396"/>
    <w:rsid w:val="38051217"/>
    <w:rsid w:val="386A15BE"/>
    <w:rsid w:val="38A60382"/>
    <w:rsid w:val="39947C44"/>
    <w:rsid w:val="39AC7D00"/>
    <w:rsid w:val="3A0F6CF6"/>
    <w:rsid w:val="3A2B6DE3"/>
    <w:rsid w:val="3A602B41"/>
    <w:rsid w:val="3AE539DA"/>
    <w:rsid w:val="3B0E70AB"/>
    <w:rsid w:val="3BA10FC1"/>
    <w:rsid w:val="3C851B30"/>
    <w:rsid w:val="3D0C4B66"/>
    <w:rsid w:val="3E3A62CF"/>
    <w:rsid w:val="3EFF3C23"/>
    <w:rsid w:val="40077447"/>
    <w:rsid w:val="40424DB9"/>
    <w:rsid w:val="40621C3E"/>
    <w:rsid w:val="408552FE"/>
    <w:rsid w:val="40961492"/>
    <w:rsid w:val="41032A66"/>
    <w:rsid w:val="4166721C"/>
    <w:rsid w:val="41CD7DA1"/>
    <w:rsid w:val="42483326"/>
    <w:rsid w:val="42616DA0"/>
    <w:rsid w:val="430316FB"/>
    <w:rsid w:val="43AF343A"/>
    <w:rsid w:val="4451698D"/>
    <w:rsid w:val="45080A44"/>
    <w:rsid w:val="45087474"/>
    <w:rsid w:val="45F16B22"/>
    <w:rsid w:val="461E1262"/>
    <w:rsid w:val="46235E63"/>
    <w:rsid w:val="469C4F66"/>
    <w:rsid w:val="46CE49C1"/>
    <w:rsid w:val="46F7608A"/>
    <w:rsid w:val="478D0BA5"/>
    <w:rsid w:val="47CC39DA"/>
    <w:rsid w:val="47E3713E"/>
    <w:rsid w:val="47F00908"/>
    <w:rsid w:val="48133679"/>
    <w:rsid w:val="48450B01"/>
    <w:rsid w:val="485F1209"/>
    <w:rsid w:val="496D2EFA"/>
    <w:rsid w:val="4A486320"/>
    <w:rsid w:val="4AE05EB7"/>
    <w:rsid w:val="4B1D6FBF"/>
    <w:rsid w:val="4B8B08E9"/>
    <w:rsid w:val="4BEA2574"/>
    <w:rsid w:val="4CF27F14"/>
    <w:rsid w:val="4D0F4F93"/>
    <w:rsid w:val="4D4B083E"/>
    <w:rsid w:val="4EDC52B5"/>
    <w:rsid w:val="4F820537"/>
    <w:rsid w:val="4FB8426A"/>
    <w:rsid w:val="4FCC7E13"/>
    <w:rsid w:val="4FF0736F"/>
    <w:rsid w:val="50CF37DF"/>
    <w:rsid w:val="510C6317"/>
    <w:rsid w:val="510E667F"/>
    <w:rsid w:val="51D76BAB"/>
    <w:rsid w:val="51EF36C8"/>
    <w:rsid w:val="51F15A28"/>
    <w:rsid w:val="51F24A1A"/>
    <w:rsid w:val="52233A0D"/>
    <w:rsid w:val="52306209"/>
    <w:rsid w:val="52A33DE4"/>
    <w:rsid w:val="53B95953"/>
    <w:rsid w:val="53BF6503"/>
    <w:rsid w:val="53F07EED"/>
    <w:rsid w:val="560A6B50"/>
    <w:rsid w:val="56E91C53"/>
    <w:rsid w:val="56F95B2D"/>
    <w:rsid w:val="57CD5299"/>
    <w:rsid w:val="5832684A"/>
    <w:rsid w:val="58632DA9"/>
    <w:rsid w:val="58C80569"/>
    <w:rsid w:val="5908025D"/>
    <w:rsid w:val="595C3B48"/>
    <w:rsid w:val="5C7D527F"/>
    <w:rsid w:val="5D864D60"/>
    <w:rsid w:val="5D8E2AF1"/>
    <w:rsid w:val="5E7D313F"/>
    <w:rsid w:val="5EA34696"/>
    <w:rsid w:val="5EA83487"/>
    <w:rsid w:val="5FCB102F"/>
    <w:rsid w:val="61141384"/>
    <w:rsid w:val="61147A2A"/>
    <w:rsid w:val="618427DF"/>
    <w:rsid w:val="61DD0315"/>
    <w:rsid w:val="61E240F2"/>
    <w:rsid w:val="62515703"/>
    <w:rsid w:val="626F0D19"/>
    <w:rsid w:val="62756080"/>
    <w:rsid w:val="62D24783"/>
    <w:rsid w:val="63A37B57"/>
    <w:rsid w:val="642D64FC"/>
    <w:rsid w:val="64733102"/>
    <w:rsid w:val="658B1408"/>
    <w:rsid w:val="65CB0CDF"/>
    <w:rsid w:val="65CB4F21"/>
    <w:rsid w:val="65F7582A"/>
    <w:rsid w:val="662047BC"/>
    <w:rsid w:val="66696111"/>
    <w:rsid w:val="66C32752"/>
    <w:rsid w:val="66C42316"/>
    <w:rsid w:val="6714364F"/>
    <w:rsid w:val="67A374B3"/>
    <w:rsid w:val="67C03ABD"/>
    <w:rsid w:val="6860332C"/>
    <w:rsid w:val="687A698E"/>
    <w:rsid w:val="68873531"/>
    <w:rsid w:val="69966168"/>
    <w:rsid w:val="699849CB"/>
    <w:rsid w:val="6A077C02"/>
    <w:rsid w:val="6A3B4EE9"/>
    <w:rsid w:val="6A7C0B69"/>
    <w:rsid w:val="6AB21C65"/>
    <w:rsid w:val="6ADE011B"/>
    <w:rsid w:val="6CAA3A2E"/>
    <w:rsid w:val="6CD418C2"/>
    <w:rsid w:val="6D1F6723"/>
    <w:rsid w:val="6D2F1AE4"/>
    <w:rsid w:val="6E5D0278"/>
    <w:rsid w:val="6E820914"/>
    <w:rsid w:val="6E902877"/>
    <w:rsid w:val="6EB12F36"/>
    <w:rsid w:val="6F52135E"/>
    <w:rsid w:val="6F767D14"/>
    <w:rsid w:val="7035002E"/>
    <w:rsid w:val="70784A29"/>
    <w:rsid w:val="715D10D7"/>
    <w:rsid w:val="7269326B"/>
    <w:rsid w:val="72AF3171"/>
    <w:rsid w:val="73B56412"/>
    <w:rsid w:val="75A3781B"/>
    <w:rsid w:val="75A670BF"/>
    <w:rsid w:val="75AC07FE"/>
    <w:rsid w:val="75D56B14"/>
    <w:rsid w:val="760D466F"/>
    <w:rsid w:val="77587D9F"/>
    <w:rsid w:val="77915F9F"/>
    <w:rsid w:val="77CB3700"/>
    <w:rsid w:val="79C70C73"/>
    <w:rsid w:val="79FD62AF"/>
    <w:rsid w:val="7A227595"/>
    <w:rsid w:val="7A8B4A05"/>
    <w:rsid w:val="7AE4164A"/>
    <w:rsid w:val="7AF66C22"/>
    <w:rsid w:val="7B007745"/>
    <w:rsid w:val="7BFC4391"/>
    <w:rsid w:val="7C117DE6"/>
    <w:rsid w:val="7C4E55E8"/>
    <w:rsid w:val="7CAE095D"/>
    <w:rsid w:val="7DE94E6A"/>
    <w:rsid w:val="7DFB017E"/>
    <w:rsid w:val="7E506B27"/>
    <w:rsid w:val="7E813F71"/>
    <w:rsid w:val="7F004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qFormat/>
    <w:uiPriority w:val="0"/>
    <w:rPr>
      <w:color w:val="0000FF"/>
      <w:u w:val="single"/>
    </w:rPr>
  </w:style>
  <w:style w:type="paragraph" w:customStyle="1" w:styleId="12">
    <w:name w:val="p0"/>
    <w:basedOn w:val="1"/>
    <w:qFormat/>
    <w:uiPriority w:val="0"/>
    <w:pPr>
      <w:widowControl/>
    </w:pPr>
    <w:rPr>
      <w:kern w:val="0"/>
      <w:szCs w:val="21"/>
    </w:rPr>
  </w:style>
  <w:style w:type="paragraph" w:customStyle="1" w:styleId="13">
    <w:name w:val="普通(网站)1"/>
    <w:basedOn w:val="1"/>
    <w:qFormat/>
    <w:uiPriority w:val="0"/>
    <w:pPr>
      <w:widowControl/>
      <w:spacing w:before="100" w:beforeAutospacing="1" w:after="100" w:afterAutospacing="1"/>
      <w:jc w:val="left"/>
    </w:pPr>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6</Pages>
  <Words>2780</Words>
  <Characters>2906</Characters>
  <Lines>21</Lines>
  <Paragraphs>6</Paragraphs>
  <TotalTime>27</TotalTime>
  <ScaleCrop>false</ScaleCrop>
  <LinksUpToDate>false</LinksUpToDate>
  <CharactersWithSpaces>2915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2009-03-25T10:41:00Z</dcterms:created>
  <dc:creator> </dc:creator>
  <cp:lastModifiedBy>Xiangyou</cp:lastModifiedBy>
  <cp:lastPrinted>2013-04-25T16:03:00Z</cp:lastPrinted>
  <dcterms:modified xsi:type="dcterms:W3CDTF">2026-05-12T03:02:51Z</dcterms:modified>
  <dc:title>竞赛委员会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75CA5844537E4515B8C72FD05D4E83CA_13</vt:lpwstr>
  </property>
  <property fmtid="{D5CDD505-2E9C-101B-9397-08002B2CF9AE}" pid="4" name="KSOTemplateDocerSaveRecord">
    <vt:lpwstr>eyJoZGlkIjoiNjA2NmNjZDM3NzUzZGJhY2I3OTc1NzBkNDI5NDdhNTkiLCJ1c2VySWQiOiIxNDQ2MzUxODYzIn0=</vt:lpwstr>
  </property>
</Properties>
</file>