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EC4D6B">
      <w:pPr>
        <w:adjustRightInd w:val="0"/>
        <w:snapToGrid w:val="0"/>
        <w:spacing w:line="540" w:lineRule="exact"/>
        <w:jc w:val="center"/>
        <w:rPr>
          <w:rFonts w:ascii="宋体" w:hAnsi="宋体" w:cs="宋体"/>
          <w:b/>
          <w:bCs/>
          <w:sz w:val="36"/>
          <w:szCs w:val="36"/>
        </w:rPr>
      </w:pPr>
      <w:r>
        <w:rPr>
          <w:rFonts w:hint="eastAsia" w:ascii="宋体" w:hAnsi="宋体" w:cs="宋体"/>
          <w:b/>
          <w:bCs/>
          <w:sz w:val="36"/>
          <w:szCs w:val="36"/>
        </w:rPr>
        <w:t>上海市第十八届运动会滑板比赛（青少年组）</w:t>
      </w:r>
    </w:p>
    <w:p w14:paraId="3E62A443">
      <w:pPr>
        <w:snapToGrid w:val="0"/>
        <w:spacing w:line="540" w:lineRule="exact"/>
        <w:jc w:val="center"/>
        <w:rPr>
          <w:rFonts w:ascii="宋体" w:hAnsi="宋体" w:cs="宋体"/>
          <w:b/>
          <w:bCs/>
          <w:sz w:val="36"/>
          <w:szCs w:val="36"/>
        </w:rPr>
      </w:pPr>
      <w:r>
        <w:rPr>
          <w:rFonts w:hint="eastAsia" w:ascii="宋体" w:hAnsi="宋体" w:cs="宋体"/>
          <w:b/>
          <w:bCs/>
          <w:sz w:val="36"/>
          <w:szCs w:val="36"/>
        </w:rPr>
        <w:t>竞赛规程</w:t>
      </w:r>
    </w:p>
    <w:p w14:paraId="04E86CB0">
      <w:pPr>
        <w:adjustRightInd w:val="0"/>
        <w:snapToGrid w:val="0"/>
        <w:spacing w:line="540" w:lineRule="exact"/>
        <w:ind w:firstLine="562" w:firstLineChars="200"/>
        <w:rPr>
          <w:rFonts w:ascii="仿宋" w:hAnsi="仿宋" w:eastAsia="仿宋" w:cs="仿宋"/>
          <w:sz w:val="28"/>
          <w:szCs w:val="28"/>
        </w:rPr>
      </w:pPr>
      <w:r>
        <w:rPr>
          <w:rFonts w:hint="eastAsia" w:ascii="仿宋" w:hAnsi="仿宋" w:eastAsia="仿宋" w:cs="仿宋"/>
          <w:b/>
          <w:sz w:val="28"/>
          <w:szCs w:val="28"/>
        </w:rPr>
        <w:t>一、主办单位：</w:t>
      </w:r>
      <w:r>
        <w:rPr>
          <w:rFonts w:hint="eastAsia" w:ascii="仿宋" w:hAnsi="仿宋" w:eastAsia="仿宋" w:cs="仿宋"/>
          <w:sz w:val="28"/>
          <w:szCs w:val="28"/>
        </w:rPr>
        <w:t>上海市体育局、上海市教育委员会</w:t>
      </w:r>
    </w:p>
    <w:p w14:paraId="639E5867">
      <w:pPr>
        <w:adjustRightInd w:val="0"/>
        <w:snapToGrid w:val="0"/>
        <w:spacing w:line="540" w:lineRule="exact"/>
        <w:ind w:firstLine="562" w:firstLineChars="200"/>
        <w:rPr>
          <w:rFonts w:ascii="仿宋" w:hAnsi="仿宋" w:eastAsia="仿宋" w:cs="仿宋"/>
          <w:sz w:val="28"/>
          <w:szCs w:val="28"/>
        </w:rPr>
      </w:pPr>
      <w:r>
        <w:rPr>
          <w:rFonts w:hint="eastAsia" w:ascii="仿宋" w:hAnsi="仿宋" w:eastAsia="仿宋" w:cs="仿宋"/>
          <w:b/>
          <w:sz w:val="28"/>
          <w:szCs w:val="28"/>
        </w:rPr>
        <w:t>二、承办单位：</w:t>
      </w:r>
      <w:r>
        <w:rPr>
          <w:rFonts w:hint="eastAsia" w:ascii="仿宋" w:hAnsi="仿宋" w:eastAsia="仿宋" w:cs="仿宋"/>
          <w:sz w:val="28"/>
          <w:szCs w:val="28"/>
        </w:rPr>
        <w:t>上海市黄浦区体育局、上海市轮滑运动协会</w:t>
      </w:r>
    </w:p>
    <w:p w14:paraId="70D9CBFA">
      <w:pPr>
        <w:adjustRightInd w:val="0"/>
        <w:snapToGrid w:val="0"/>
        <w:spacing w:line="540" w:lineRule="exact"/>
        <w:ind w:firstLine="562" w:firstLineChars="200"/>
        <w:rPr>
          <w:rFonts w:ascii="仿宋" w:hAnsi="仿宋" w:eastAsia="仿宋" w:cs="仿宋"/>
          <w:sz w:val="28"/>
          <w:szCs w:val="28"/>
        </w:rPr>
      </w:pPr>
      <w:r>
        <w:rPr>
          <w:rFonts w:hint="eastAsia" w:ascii="仿宋" w:hAnsi="仿宋" w:eastAsia="仿宋" w:cs="仿宋"/>
          <w:b/>
          <w:sz w:val="28"/>
          <w:szCs w:val="28"/>
        </w:rPr>
        <w:t>三、协办单位：</w:t>
      </w:r>
      <w:r>
        <w:rPr>
          <w:rFonts w:hint="eastAsia" w:ascii="仿宋" w:hAnsi="仿宋" w:eastAsia="仿宋" w:cs="仿宋"/>
          <w:sz w:val="28"/>
          <w:szCs w:val="28"/>
        </w:rPr>
        <w:t>待定</w:t>
      </w:r>
    </w:p>
    <w:p w14:paraId="6E733100">
      <w:pPr>
        <w:adjustRightInd w:val="0"/>
        <w:snapToGrid w:val="0"/>
        <w:spacing w:line="540" w:lineRule="exact"/>
        <w:ind w:firstLine="562" w:firstLineChars="200"/>
        <w:rPr>
          <w:rFonts w:ascii="仿宋" w:hAnsi="仿宋" w:eastAsia="仿宋" w:cs="仿宋"/>
          <w:sz w:val="28"/>
          <w:szCs w:val="28"/>
        </w:rPr>
      </w:pPr>
      <w:r>
        <w:rPr>
          <w:rFonts w:hint="eastAsia" w:ascii="仿宋" w:hAnsi="仿宋" w:eastAsia="仿宋" w:cs="仿宋"/>
          <w:b/>
          <w:sz w:val="28"/>
          <w:szCs w:val="28"/>
        </w:rPr>
        <w:t>四、竞赛日期：</w:t>
      </w:r>
      <w:r>
        <w:rPr>
          <w:rFonts w:hint="eastAsia" w:ascii="仿宋" w:hAnsi="仿宋" w:eastAsia="仿宋" w:cs="仿宋"/>
          <w:sz w:val="28"/>
          <w:szCs w:val="28"/>
        </w:rPr>
        <w:t>2026年</w:t>
      </w:r>
      <w:r>
        <w:rPr>
          <w:rFonts w:ascii="仿宋" w:hAnsi="仿宋" w:eastAsia="仿宋" w:cs="仿宋"/>
          <w:sz w:val="28"/>
          <w:szCs w:val="28"/>
        </w:rPr>
        <w:t>10</w:t>
      </w:r>
      <w:r>
        <w:rPr>
          <w:rFonts w:hint="eastAsia" w:ascii="仿宋" w:hAnsi="仿宋" w:eastAsia="仿宋" w:cs="仿宋"/>
          <w:sz w:val="28"/>
          <w:szCs w:val="28"/>
        </w:rPr>
        <w:t>月（具体时间待定）</w:t>
      </w:r>
    </w:p>
    <w:p w14:paraId="29C34EC2">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五、竞赛地点</w:t>
      </w:r>
    </w:p>
    <w:p w14:paraId="2D38AEFD">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黄浦滨江滑板公园（上海市黄浦区龙华东路50弄3号）</w:t>
      </w:r>
      <w:r>
        <w:rPr>
          <w:rFonts w:ascii="仿宋" w:hAnsi="仿宋" w:eastAsia="仿宋" w:cs="仿宋"/>
          <w:sz w:val="28"/>
          <w:szCs w:val="28"/>
        </w:rPr>
        <w:t xml:space="preserve"> </w:t>
      </w:r>
    </w:p>
    <w:p w14:paraId="729DDC00">
      <w:pPr>
        <w:adjustRightInd w:val="0"/>
        <w:snapToGrid w:val="0"/>
        <w:spacing w:line="540" w:lineRule="exact"/>
        <w:ind w:firstLine="562" w:firstLineChars="200"/>
        <w:rPr>
          <w:rFonts w:ascii="仿宋" w:hAnsi="仿宋" w:eastAsia="仿宋" w:cs="仿宋"/>
          <w:sz w:val="28"/>
          <w:szCs w:val="28"/>
        </w:rPr>
      </w:pPr>
      <w:r>
        <w:rPr>
          <w:rFonts w:hint="eastAsia" w:ascii="仿宋" w:hAnsi="仿宋" w:eastAsia="仿宋" w:cs="仿宋"/>
          <w:b/>
          <w:bCs/>
          <w:sz w:val="28"/>
          <w:szCs w:val="28"/>
        </w:rPr>
        <w:t>六、参赛单位</w:t>
      </w:r>
      <w:r>
        <w:rPr>
          <w:rFonts w:hint="eastAsia" w:ascii="仿宋" w:hAnsi="仿宋" w:eastAsia="仿宋" w:cs="仿宋"/>
          <w:sz w:val="28"/>
          <w:szCs w:val="28"/>
        </w:rPr>
        <w:t>：本市各区</w:t>
      </w:r>
    </w:p>
    <w:p w14:paraId="2D0DDFC4">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七、年龄组别和小项设置</w:t>
      </w:r>
    </w:p>
    <w:tbl>
      <w:tblPr>
        <w:tblStyle w:val="10"/>
        <w:tblW w:w="799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696"/>
        <w:gridCol w:w="1800"/>
        <w:gridCol w:w="900"/>
        <w:gridCol w:w="2318"/>
        <w:gridCol w:w="2278"/>
      </w:tblGrid>
      <w:tr w14:paraId="020F0E0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0" w:hRule="atLeast"/>
          <w:jc w:val="center"/>
        </w:trPr>
        <w:tc>
          <w:tcPr>
            <w:tcW w:w="696" w:type="dxa"/>
            <w:tcBorders>
              <w:top w:val="single" w:color="000000" w:sz="6" w:space="0"/>
              <w:left w:val="single" w:color="000000" w:sz="6" w:space="0"/>
              <w:bottom w:val="single" w:color="000000" w:sz="6" w:space="0"/>
              <w:right w:val="single" w:color="000000" w:sz="6" w:space="0"/>
            </w:tcBorders>
            <w:vAlign w:val="center"/>
          </w:tcPr>
          <w:p w14:paraId="084E2E1C">
            <w:pPr>
              <w:ind w:left="9"/>
              <w:jc w:val="center"/>
              <w:rPr>
                <w:rFonts w:ascii="仿宋" w:hAnsi="仿宋" w:eastAsia="仿宋" w:cs="仿宋"/>
                <w:szCs w:val="21"/>
              </w:rPr>
            </w:pPr>
            <w:r>
              <w:rPr>
                <w:rFonts w:hint="eastAsia" w:ascii="仿宋" w:hAnsi="仿宋" w:eastAsia="仿宋" w:cs="仿宋"/>
                <w:b/>
                <w:bCs/>
                <w:szCs w:val="21"/>
              </w:rPr>
              <w:t>组别</w:t>
            </w:r>
          </w:p>
        </w:tc>
        <w:tc>
          <w:tcPr>
            <w:tcW w:w="1800" w:type="dxa"/>
            <w:tcBorders>
              <w:top w:val="single" w:color="000000" w:sz="6" w:space="0"/>
              <w:left w:val="single" w:color="000000" w:sz="6" w:space="0"/>
              <w:bottom w:val="single" w:color="000000" w:sz="6" w:space="0"/>
              <w:right w:val="single" w:color="000000" w:sz="6" w:space="0"/>
            </w:tcBorders>
            <w:vAlign w:val="center"/>
          </w:tcPr>
          <w:p w14:paraId="3A4B9BB9">
            <w:pPr>
              <w:ind w:left="23"/>
              <w:jc w:val="center"/>
              <w:rPr>
                <w:rFonts w:ascii="仿宋" w:hAnsi="仿宋" w:eastAsia="仿宋" w:cs="仿宋"/>
                <w:szCs w:val="21"/>
              </w:rPr>
            </w:pPr>
            <w:r>
              <w:rPr>
                <w:rFonts w:hint="eastAsia" w:ascii="仿宋" w:hAnsi="仿宋" w:eastAsia="仿宋" w:cs="仿宋"/>
                <w:b/>
                <w:bCs/>
                <w:szCs w:val="21"/>
              </w:rPr>
              <w:t>年龄段</w:t>
            </w:r>
          </w:p>
        </w:tc>
        <w:tc>
          <w:tcPr>
            <w:tcW w:w="900" w:type="dxa"/>
            <w:tcBorders>
              <w:top w:val="single" w:color="000000" w:sz="6" w:space="0"/>
              <w:left w:val="single" w:color="000000" w:sz="6" w:space="0"/>
              <w:bottom w:val="single" w:color="000000" w:sz="6" w:space="0"/>
              <w:right w:val="single" w:color="000000" w:sz="6" w:space="0"/>
            </w:tcBorders>
            <w:vAlign w:val="center"/>
          </w:tcPr>
          <w:p w14:paraId="01A1E0DA">
            <w:pPr>
              <w:ind w:left="49"/>
              <w:jc w:val="center"/>
              <w:rPr>
                <w:rFonts w:ascii="仿宋" w:hAnsi="仿宋" w:eastAsia="仿宋" w:cs="仿宋"/>
                <w:szCs w:val="21"/>
              </w:rPr>
            </w:pPr>
            <w:r>
              <w:rPr>
                <w:rFonts w:hint="eastAsia" w:ascii="仿宋" w:hAnsi="仿宋" w:eastAsia="仿宋" w:cs="仿宋"/>
                <w:b/>
                <w:bCs/>
                <w:szCs w:val="21"/>
              </w:rPr>
              <w:t>设项数</w:t>
            </w:r>
          </w:p>
        </w:tc>
        <w:tc>
          <w:tcPr>
            <w:tcW w:w="2318" w:type="dxa"/>
            <w:tcBorders>
              <w:top w:val="single" w:color="000000" w:sz="6" w:space="0"/>
              <w:left w:val="single" w:color="000000" w:sz="6" w:space="0"/>
              <w:bottom w:val="single" w:color="000000" w:sz="6" w:space="0"/>
              <w:right w:val="single" w:color="000000" w:sz="6" w:space="0"/>
            </w:tcBorders>
            <w:vAlign w:val="center"/>
          </w:tcPr>
          <w:p w14:paraId="3A3BBA1A">
            <w:pPr>
              <w:ind w:left="9"/>
              <w:jc w:val="center"/>
              <w:rPr>
                <w:rFonts w:ascii="仿宋" w:hAnsi="仿宋" w:eastAsia="仿宋" w:cs="仿宋"/>
                <w:b/>
                <w:bCs/>
                <w:szCs w:val="21"/>
              </w:rPr>
            </w:pPr>
            <w:r>
              <w:rPr>
                <w:rFonts w:hint="eastAsia" w:ascii="仿宋" w:hAnsi="仿宋" w:eastAsia="仿宋" w:cs="仿宋"/>
                <w:b/>
                <w:bCs/>
                <w:szCs w:val="21"/>
              </w:rPr>
              <w:t>男子</w:t>
            </w:r>
          </w:p>
        </w:tc>
        <w:tc>
          <w:tcPr>
            <w:tcW w:w="2278" w:type="dxa"/>
            <w:tcBorders>
              <w:top w:val="single" w:color="000000" w:sz="6" w:space="0"/>
              <w:left w:val="single" w:color="000000" w:sz="6" w:space="0"/>
              <w:bottom w:val="single" w:color="000000" w:sz="6" w:space="0"/>
              <w:right w:val="single" w:color="000000" w:sz="6" w:space="0"/>
            </w:tcBorders>
            <w:vAlign w:val="center"/>
          </w:tcPr>
          <w:p w14:paraId="205F460C">
            <w:pPr>
              <w:ind w:left="9"/>
              <w:jc w:val="center"/>
              <w:rPr>
                <w:rFonts w:ascii="仿宋" w:hAnsi="仿宋" w:eastAsia="仿宋" w:cs="仿宋"/>
                <w:b/>
                <w:bCs/>
                <w:szCs w:val="21"/>
              </w:rPr>
            </w:pPr>
            <w:r>
              <w:rPr>
                <w:rFonts w:hint="eastAsia" w:ascii="仿宋" w:hAnsi="仿宋" w:eastAsia="仿宋" w:cs="仿宋"/>
                <w:b/>
                <w:bCs/>
                <w:szCs w:val="21"/>
              </w:rPr>
              <w:t>女子</w:t>
            </w:r>
          </w:p>
        </w:tc>
      </w:tr>
      <w:tr w14:paraId="483F6AC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0" w:hRule="atLeast"/>
          <w:jc w:val="center"/>
        </w:trPr>
        <w:tc>
          <w:tcPr>
            <w:tcW w:w="696" w:type="dxa"/>
            <w:tcBorders>
              <w:top w:val="single" w:color="000000" w:sz="6" w:space="0"/>
              <w:left w:val="single" w:color="000000" w:sz="6" w:space="0"/>
              <w:bottom w:val="single" w:color="000000" w:sz="6" w:space="0"/>
              <w:right w:val="single" w:color="000000" w:sz="6" w:space="0"/>
            </w:tcBorders>
            <w:vAlign w:val="center"/>
          </w:tcPr>
          <w:p w14:paraId="681EDFF0">
            <w:pPr>
              <w:ind w:left="9"/>
              <w:jc w:val="center"/>
              <w:rPr>
                <w:rFonts w:ascii="宋体" w:hAnsi="宋体" w:cs="宋体"/>
                <w:spacing w:val="-2"/>
                <w:szCs w:val="21"/>
              </w:rPr>
            </w:pPr>
            <w:r>
              <w:rPr>
                <w:rFonts w:ascii="宋体" w:hAnsi="宋体" w:cs="宋体"/>
                <w:spacing w:val="-2"/>
                <w:szCs w:val="21"/>
              </w:rPr>
              <w:t>A</w:t>
            </w:r>
          </w:p>
        </w:tc>
        <w:tc>
          <w:tcPr>
            <w:tcW w:w="1800" w:type="dxa"/>
            <w:tcBorders>
              <w:top w:val="single" w:color="000000" w:sz="6" w:space="0"/>
              <w:left w:val="single" w:color="000000" w:sz="6" w:space="0"/>
              <w:bottom w:val="single" w:color="000000" w:sz="6" w:space="0"/>
              <w:right w:val="single" w:color="000000" w:sz="6" w:space="0"/>
            </w:tcBorders>
            <w:vAlign w:val="center"/>
          </w:tcPr>
          <w:p w14:paraId="0381DF45">
            <w:pPr>
              <w:ind w:left="23"/>
              <w:jc w:val="center"/>
              <w:rPr>
                <w:rFonts w:ascii="宋体" w:hAnsi="宋体" w:cs="宋体"/>
                <w:spacing w:val="-2"/>
                <w:szCs w:val="21"/>
              </w:rPr>
            </w:pPr>
            <w:r>
              <w:rPr>
                <w:rFonts w:ascii="宋体" w:hAnsi="宋体" w:cs="宋体"/>
                <w:spacing w:val="-2"/>
                <w:szCs w:val="21"/>
              </w:rPr>
              <w:t>11.1.1-15.12.31</w:t>
            </w:r>
          </w:p>
        </w:tc>
        <w:tc>
          <w:tcPr>
            <w:tcW w:w="900" w:type="dxa"/>
            <w:tcBorders>
              <w:top w:val="single" w:color="000000" w:sz="6" w:space="0"/>
              <w:left w:val="single" w:color="000000" w:sz="6" w:space="0"/>
              <w:bottom w:val="single" w:color="000000" w:sz="6" w:space="0"/>
              <w:right w:val="single" w:color="000000" w:sz="6" w:space="0"/>
            </w:tcBorders>
            <w:vAlign w:val="center"/>
          </w:tcPr>
          <w:p w14:paraId="285F0ED1">
            <w:pPr>
              <w:ind w:left="49"/>
              <w:jc w:val="center"/>
              <w:rPr>
                <w:rFonts w:ascii="宋体" w:hAnsi="宋体" w:cs="宋体"/>
                <w:spacing w:val="-2"/>
                <w:szCs w:val="21"/>
              </w:rPr>
            </w:pPr>
            <w:r>
              <w:rPr>
                <w:rFonts w:ascii="宋体" w:hAnsi="宋体" w:cs="宋体"/>
                <w:spacing w:val="-2"/>
                <w:szCs w:val="21"/>
              </w:rPr>
              <w:t>4</w:t>
            </w:r>
          </w:p>
        </w:tc>
        <w:tc>
          <w:tcPr>
            <w:tcW w:w="2318" w:type="dxa"/>
            <w:tcBorders>
              <w:top w:val="single" w:color="000000" w:sz="6" w:space="0"/>
              <w:left w:val="single" w:color="000000" w:sz="6" w:space="0"/>
              <w:bottom w:val="single" w:color="000000" w:sz="6" w:space="0"/>
              <w:right w:val="single" w:color="000000" w:sz="6" w:space="0"/>
            </w:tcBorders>
            <w:vAlign w:val="center"/>
          </w:tcPr>
          <w:p w14:paraId="61C83CF8">
            <w:pPr>
              <w:ind w:left="9"/>
              <w:jc w:val="center"/>
              <w:rPr>
                <w:rFonts w:ascii="宋体" w:hAnsi="宋体" w:cs="宋体"/>
                <w:spacing w:val="-2"/>
                <w:szCs w:val="21"/>
              </w:rPr>
            </w:pPr>
            <w:r>
              <w:rPr>
                <w:rFonts w:hint="eastAsia" w:ascii="宋体" w:hAnsi="宋体" w:cs="宋体"/>
                <w:spacing w:val="-2"/>
                <w:szCs w:val="21"/>
              </w:rPr>
              <w:t>街式、碗池</w:t>
            </w:r>
          </w:p>
        </w:tc>
        <w:tc>
          <w:tcPr>
            <w:tcW w:w="2278" w:type="dxa"/>
            <w:tcBorders>
              <w:top w:val="single" w:color="000000" w:sz="6" w:space="0"/>
              <w:left w:val="single" w:color="000000" w:sz="6" w:space="0"/>
              <w:bottom w:val="single" w:color="000000" w:sz="6" w:space="0"/>
              <w:right w:val="single" w:color="000000" w:sz="6" w:space="0"/>
            </w:tcBorders>
            <w:vAlign w:val="center"/>
          </w:tcPr>
          <w:p w14:paraId="59D7D627">
            <w:pPr>
              <w:ind w:left="9"/>
              <w:jc w:val="center"/>
              <w:rPr>
                <w:rFonts w:ascii="宋体" w:hAnsi="宋体" w:cs="宋体"/>
                <w:spacing w:val="-2"/>
                <w:szCs w:val="21"/>
              </w:rPr>
            </w:pPr>
            <w:r>
              <w:rPr>
                <w:rFonts w:hint="eastAsia" w:ascii="宋体" w:hAnsi="宋体" w:cs="宋体"/>
                <w:spacing w:val="-2"/>
                <w:szCs w:val="21"/>
              </w:rPr>
              <w:t>街式、碗池</w:t>
            </w:r>
          </w:p>
        </w:tc>
      </w:tr>
      <w:tr w14:paraId="700FC0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0" w:hRule="atLeast"/>
          <w:jc w:val="center"/>
        </w:trPr>
        <w:tc>
          <w:tcPr>
            <w:tcW w:w="696" w:type="dxa"/>
            <w:tcBorders>
              <w:top w:val="single" w:color="000000" w:sz="6" w:space="0"/>
              <w:left w:val="single" w:color="000000" w:sz="6" w:space="0"/>
              <w:bottom w:val="single" w:color="auto" w:sz="4" w:space="0"/>
              <w:right w:val="single" w:color="000000" w:sz="6" w:space="0"/>
            </w:tcBorders>
            <w:vAlign w:val="center"/>
          </w:tcPr>
          <w:p w14:paraId="15A6DF29">
            <w:pPr>
              <w:ind w:left="9"/>
              <w:jc w:val="center"/>
              <w:rPr>
                <w:rFonts w:ascii="宋体" w:hAnsi="宋体" w:cs="宋体"/>
                <w:spacing w:val="-2"/>
                <w:szCs w:val="21"/>
              </w:rPr>
            </w:pPr>
            <w:r>
              <w:rPr>
                <w:rFonts w:ascii="宋体" w:hAnsi="宋体" w:cs="宋体"/>
                <w:spacing w:val="-2"/>
                <w:szCs w:val="21"/>
              </w:rPr>
              <w:t>B</w:t>
            </w:r>
          </w:p>
        </w:tc>
        <w:tc>
          <w:tcPr>
            <w:tcW w:w="1800" w:type="dxa"/>
            <w:tcBorders>
              <w:top w:val="single" w:color="000000" w:sz="6" w:space="0"/>
              <w:left w:val="single" w:color="000000" w:sz="6" w:space="0"/>
              <w:bottom w:val="single" w:color="auto" w:sz="4" w:space="0"/>
              <w:right w:val="single" w:color="000000" w:sz="6" w:space="0"/>
            </w:tcBorders>
            <w:vAlign w:val="center"/>
          </w:tcPr>
          <w:p w14:paraId="3DCBD96C">
            <w:pPr>
              <w:ind w:left="23"/>
              <w:jc w:val="center"/>
              <w:rPr>
                <w:rFonts w:ascii="宋体" w:hAnsi="宋体" w:cs="宋体"/>
                <w:spacing w:val="-2"/>
                <w:szCs w:val="21"/>
              </w:rPr>
            </w:pPr>
            <w:r>
              <w:rPr>
                <w:rFonts w:ascii="宋体" w:hAnsi="宋体" w:cs="宋体"/>
                <w:spacing w:val="-2"/>
                <w:szCs w:val="21"/>
              </w:rPr>
              <w:t>16.1.1-19.12.31</w:t>
            </w:r>
          </w:p>
        </w:tc>
        <w:tc>
          <w:tcPr>
            <w:tcW w:w="900" w:type="dxa"/>
            <w:tcBorders>
              <w:top w:val="single" w:color="000000" w:sz="6" w:space="0"/>
              <w:left w:val="single" w:color="000000" w:sz="6" w:space="0"/>
              <w:bottom w:val="single" w:color="auto" w:sz="4" w:space="0"/>
              <w:right w:val="single" w:color="000000" w:sz="6" w:space="0"/>
            </w:tcBorders>
            <w:vAlign w:val="center"/>
          </w:tcPr>
          <w:p w14:paraId="5060E08C">
            <w:pPr>
              <w:ind w:left="49"/>
              <w:jc w:val="center"/>
              <w:rPr>
                <w:rFonts w:ascii="宋体" w:hAnsi="宋体" w:cs="宋体"/>
                <w:spacing w:val="-2"/>
                <w:szCs w:val="21"/>
              </w:rPr>
            </w:pPr>
            <w:r>
              <w:rPr>
                <w:rFonts w:ascii="宋体" w:hAnsi="宋体" w:cs="宋体"/>
                <w:spacing w:val="-2"/>
                <w:szCs w:val="21"/>
              </w:rPr>
              <w:t>4</w:t>
            </w:r>
          </w:p>
        </w:tc>
        <w:tc>
          <w:tcPr>
            <w:tcW w:w="2318" w:type="dxa"/>
            <w:tcBorders>
              <w:top w:val="single" w:color="000000" w:sz="6" w:space="0"/>
              <w:left w:val="single" w:color="000000" w:sz="6" w:space="0"/>
              <w:bottom w:val="single" w:color="auto" w:sz="4" w:space="0"/>
              <w:right w:val="single" w:color="000000" w:sz="6" w:space="0"/>
            </w:tcBorders>
            <w:vAlign w:val="center"/>
          </w:tcPr>
          <w:p w14:paraId="2F932C4F">
            <w:pPr>
              <w:ind w:left="9"/>
              <w:jc w:val="center"/>
              <w:rPr>
                <w:rFonts w:ascii="宋体" w:hAnsi="宋体" w:cs="宋体"/>
                <w:spacing w:val="-2"/>
                <w:szCs w:val="21"/>
              </w:rPr>
            </w:pPr>
            <w:r>
              <w:rPr>
                <w:rFonts w:hint="eastAsia" w:ascii="宋体" w:hAnsi="宋体" w:cs="宋体"/>
                <w:spacing w:val="-2"/>
                <w:szCs w:val="21"/>
              </w:rPr>
              <w:t>街式、碗池</w:t>
            </w:r>
          </w:p>
        </w:tc>
        <w:tc>
          <w:tcPr>
            <w:tcW w:w="2278" w:type="dxa"/>
            <w:tcBorders>
              <w:top w:val="single" w:color="000000" w:sz="6" w:space="0"/>
              <w:left w:val="single" w:color="000000" w:sz="6" w:space="0"/>
              <w:bottom w:val="single" w:color="auto" w:sz="4" w:space="0"/>
              <w:right w:val="single" w:color="000000" w:sz="6" w:space="0"/>
            </w:tcBorders>
            <w:vAlign w:val="center"/>
          </w:tcPr>
          <w:p w14:paraId="3C17972F">
            <w:pPr>
              <w:ind w:left="9"/>
              <w:jc w:val="center"/>
              <w:rPr>
                <w:rFonts w:ascii="宋体" w:hAnsi="宋体" w:cs="宋体"/>
                <w:spacing w:val="-2"/>
                <w:szCs w:val="21"/>
              </w:rPr>
            </w:pPr>
            <w:r>
              <w:rPr>
                <w:rFonts w:hint="eastAsia" w:ascii="宋体" w:hAnsi="宋体" w:cs="宋体"/>
                <w:spacing w:val="-2"/>
                <w:szCs w:val="21"/>
              </w:rPr>
              <w:t>街式、碗池</w:t>
            </w:r>
          </w:p>
        </w:tc>
      </w:tr>
    </w:tbl>
    <w:p w14:paraId="650D4395">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八、参赛资格</w:t>
      </w:r>
    </w:p>
    <w:p w14:paraId="48E69F31">
      <w:pPr>
        <w:spacing w:line="540" w:lineRule="exact"/>
        <w:ind w:firstLine="560" w:firstLineChars="200"/>
        <w:rPr>
          <w:rFonts w:ascii="仿宋" w:hAnsi="仿宋" w:eastAsia="仿宋" w:cs="仿宋"/>
          <w:color w:val="0000FF"/>
          <w:sz w:val="28"/>
          <w:szCs w:val="28"/>
        </w:rPr>
      </w:pPr>
      <w:r>
        <w:rPr>
          <w:rFonts w:hint="eastAsia" w:ascii="仿宋" w:hAnsi="仿宋" w:eastAsia="仿宋" w:cs="仿宋"/>
          <w:sz w:val="28"/>
          <w:szCs w:val="28"/>
        </w:rPr>
        <w:t>（一）运动员须具有中国国籍（包括港、澳、台）。运动员须经医务部门检查，证明身体健康，适合参赛。</w:t>
      </w:r>
    </w:p>
    <w:p w14:paraId="52760280">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（二）每名运动员只能代表一个单位（代表团）参赛；运动员不得跨越组别参赛。</w:t>
      </w:r>
    </w:p>
    <w:p w14:paraId="144AD154">
      <w:pPr>
        <w:spacing w:line="540" w:lineRule="exact"/>
        <w:ind w:firstLine="560" w:firstLineChars="200"/>
        <w:rPr>
          <w:rFonts w:ascii="仿宋" w:hAnsi="仿宋" w:eastAsia="仿宋" w:cs="仿宋"/>
          <w:sz w:val="28"/>
          <w:szCs w:val="28"/>
        </w:rPr>
      </w:pPr>
      <w:bookmarkStart w:id="0" w:name="_Hlk94972236"/>
      <w:r>
        <w:rPr>
          <w:rFonts w:hint="eastAsia" w:ascii="仿宋" w:hAnsi="仿宋" w:eastAsia="仿宋" w:cs="仿宋"/>
          <w:sz w:val="28"/>
          <w:szCs w:val="28"/>
        </w:rPr>
        <w:t>（三）参赛运动员必须是202</w:t>
      </w:r>
      <w:r>
        <w:rPr>
          <w:rFonts w:ascii="仿宋" w:hAnsi="仿宋" w:eastAsia="仿宋" w:cs="仿宋"/>
          <w:sz w:val="28"/>
          <w:szCs w:val="28"/>
        </w:rPr>
        <w:t>6</w:t>
      </w:r>
      <w:r>
        <w:rPr>
          <w:rFonts w:hint="eastAsia" w:ascii="仿宋" w:hAnsi="仿宋" w:eastAsia="仿宋" w:cs="仿宋"/>
          <w:sz w:val="28"/>
          <w:szCs w:val="28"/>
        </w:rPr>
        <w:t>年在本市有效注册的青少年运动员，并持本人当年有效的《上海市青少年运动员注册卡》参赛。</w:t>
      </w:r>
      <w:bookmarkEnd w:id="0"/>
    </w:p>
    <w:p w14:paraId="154D3B6A">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（四）参赛运动员须参加202</w:t>
      </w:r>
      <w:r>
        <w:rPr>
          <w:rFonts w:ascii="仿宋" w:hAnsi="仿宋" w:eastAsia="仿宋" w:cs="仿宋"/>
          <w:sz w:val="28"/>
          <w:szCs w:val="28"/>
        </w:rPr>
        <w:t>6</w:t>
      </w:r>
      <w:r>
        <w:rPr>
          <w:rFonts w:hint="eastAsia" w:ascii="仿宋" w:hAnsi="仿宋" w:eastAsia="仿宋" w:cs="仿宋"/>
          <w:sz w:val="28"/>
          <w:szCs w:val="28"/>
        </w:rPr>
        <w:t>年上海市滑板体能测试赛，A组运动员须取得</w:t>
      </w:r>
      <w:r>
        <w:rPr>
          <w:rFonts w:ascii="仿宋" w:hAnsi="仿宋" w:eastAsia="仿宋" w:cs="仿宋"/>
          <w:sz w:val="28"/>
          <w:szCs w:val="28"/>
        </w:rPr>
        <w:t>60</w:t>
      </w:r>
      <w:r>
        <w:rPr>
          <w:rFonts w:hint="eastAsia" w:ascii="仿宋" w:hAnsi="仿宋" w:eastAsia="仿宋" w:cs="仿宋"/>
          <w:sz w:val="28"/>
          <w:szCs w:val="28"/>
        </w:rPr>
        <w:t>分及以上成绩，B组运动员须取得4</w:t>
      </w:r>
      <w:r>
        <w:rPr>
          <w:rFonts w:ascii="仿宋" w:hAnsi="仿宋" w:eastAsia="仿宋" w:cs="仿宋"/>
          <w:sz w:val="28"/>
          <w:szCs w:val="28"/>
        </w:rPr>
        <w:t>0</w:t>
      </w:r>
      <w:r>
        <w:rPr>
          <w:rFonts w:hint="eastAsia" w:ascii="仿宋" w:hAnsi="仿宋" w:eastAsia="仿宋" w:cs="仿宋"/>
          <w:sz w:val="28"/>
          <w:szCs w:val="28"/>
        </w:rPr>
        <w:t>分及以上成绩可报名参赛。</w:t>
      </w:r>
    </w:p>
    <w:p w14:paraId="4EED1851">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五）按照市体育局《上海市体育后备人才输送认定办法》（沪体青〔2023〕72号），已被认定为向一线输送或等同于向一线输送的运动员均不得参加本届运动会。上述运动员的认定以本届运动会第二次报名前市体育局、市人力资源社会保障局有关文件及相关证明材料为准。</w:t>
      </w:r>
    </w:p>
    <w:p w14:paraId="78CAA7D9">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（六）2026年已在外省市注册或代表外省市在国家体育总局注册的运动员不得参加比赛，经上海市体育局批准同意交流至外省市的运动员除外。</w:t>
      </w:r>
    </w:p>
    <w:p w14:paraId="11963A87">
      <w:pPr>
        <w:numPr>
          <w:ilvl w:val="255"/>
          <w:numId w:val="0"/>
        </w:numPr>
        <w:spacing w:line="540" w:lineRule="exact"/>
        <w:ind w:firstLine="544" w:firstLineChars="200"/>
        <w:rPr>
          <w:rFonts w:ascii="仿宋" w:hAnsi="仿宋" w:eastAsia="仿宋" w:cs="仿宋"/>
          <w:spacing w:val="-4"/>
          <w:sz w:val="28"/>
          <w:szCs w:val="28"/>
        </w:rPr>
      </w:pPr>
      <w:r>
        <w:rPr>
          <w:rFonts w:hint="eastAsia" w:ascii="仿宋" w:hAnsi="仿宋" w:eastAsia="仿宋" w:cs="仿宋"/>
          <w:spacing w:val="-4"/>
          <w:sz w:val="28"/>
          <w:szCs w:val="28"/>
        </w:rPr>
        <w:t>（七）本市市属青少年高水平运动队在编运动员代表注册单位参赛。</w:t>
      </w:r>
    </w:p>
    <w:p w14:paraId="5D695D2D">
      <w:pPr>
        <w:numPr>
          <w:ilvl w:val="255"/>
          <w:numId w:val="0"/>
        </w:numPr>
        <w:spacing w:line="540" w:lineRule="exact"/>
        <w:ind w:firstLine="544" w:firstLineChars="200"/>
        <w:rPr>
          <w:rFonts w:ascii="仿宋" w:hAnsi="仿宋" w:eastAsia="仿宋" w:cs="仿宋"/>
          <w:sz w:val="28"/>
          <w:szCs w:val="28"/>
        </w:rPr>
      </w:pPr>
      <w:r>
        <w:rPr>
          <w:rFonts w:hint="eastAsia" w:ascii="仿宋" w:hAnsi="仿宋" w:eastAsia="仿宋" w:cs="仿宋"/>
          <w:spacing w:val="-4"/>
          <w:sz w:val="28"/>
          <w:szCs w:val="28"/>
        </w:rPr>
        <w:t>（八）</w:t>
      </w:r>
      <w:r>
        <w:rPr>
          <w:rFonts w:hint="eastAsia" w:ascii="仿宋" w:hAnsi="仿宋" w:eastAsia="仿宋" w:cs="仿宋"/>
          <w:sz w:val="28"/>
          <w:szCs w:val="28"/>
        </w:rPr>
        <w:t>经市教委、市体育局共同认定的上海市高中阶段学校引进优秀体育学生，于2026年7月10日前办理注册手续的，可直接参加本届运动会。</w:t>
      </w:r>
    </w:p>
    <w:p w14:paraId="4B5008E9">
      <w:pPr>
        <w:numPr>
          <w:ilvl w:val="255"/>
          <w:numId w:val="0"/>
        </w:numPr>
        <w:spacing w:line="540" w:lineRule="exact"/>
        <w:ind w:firstLine="560" w:firstLineChars="200"/>
        <w:rPr>
          <w:rFonts w:ascii="仿宋" w:hAnsi="仿宋" w:eastAsia="仿宋" w:cs="仿宋"/>
          <w:spacing w:val="-4"/>
          <w:sz w:val="28"/>
          <w:szCs w:val="28"/>
        </w:rPr>
      </w:pPr>
      <w:r>
        <w:rPr>
          <w:rFonts w:hint="eastAsia" w:ascii="仿宋" w:hAnsi="仿宋" w:eastAsia="仿宋" w:cs="仿宋"/>
          <w:sz w:val="28"/>
          <w:szCs w:val="28"/>
        </w:rPr>
        <w:t>（九）举重、摔跤两个项目作为主项不得和本项目以外的其他任何项目兼项参赛，其他项目作为主项可以兼项举重、摔跤参赛。</w:t>
      </w:r>
    </w:p>
    <w:p w14:paraId="6A273CE8">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九、参加办法（参赛办法、报名办法）</w:t>
      </w:r>
    </w:p>
    <w:p w14:paraId="485E46C6">
      <w:pPr>
        <w:overflowPunct w:val="0"/>
        <w:topLinePunct/>
        <w:spacing w:line="540" w:lineRule="exact"/>
        <w:ind w:left="105" w:leftChars="50" w:firstLine="560" w:firstLineChars="200"/>
        <w:rPr>
          <w:rFonts w:ascii="仿宋" w:hAnsi="仿宋" w:eastAsia="仿宋" w:cs="仿宋"/>
          <w:sz w:val="28"/>
          <w:szCs w:val="28"/>
        </w:rPr>
      </w:pPr>
      <w:r>
        <w:rPr>
          <w:rFonts w:hint="eastAsia" w:ascii="仿宋" w:hAnsi="仿宋" w:eastAsia="仿宋" w:cs="仿宋"/>
          <w:sz w:val="28"/>
          <w:szCs w:val="28"/>
        </w:rPr>
        <w:t>（一）报名人数：各代表团可报领队1人，教练员1</w:t>
      </w:r>
      <w:r>
        <w:rPr>
          <w:rFonts w:ascii="仿宋" w:hAnsi="仿宋" w:eastAsia="仿宋" w:cs="仿宋"/>
          <w:sz w:val="28"/>
          <w:szCs w:val="28"/>
        </w:rPr>
        <w:t>-3</w:t>
      </w:r>
      <w:r>
        <w:rPr>
          <w:rFonts w:hint="eastAsia" w:ascii="仿宋" w:hAnsi="仿宋" w:eastAsia="仿宋" w:cs="仿宋"/>
          <w:sz w:val="28"/>
          <w:szCs w:val="28"/>
        </w:rPr>
        <w:t>人，各组别各小项可报运动员数量不限。教练员必须是2026年在本市有效注册的青训教练员。</w:t>
      </w:r>
    </w:p>
    <w:p w14:paraId="22F161A8">
      <w:pPr>
        <w:adjustRightInd w:val="0"/>
        <w:snapToGrid w:val="0"/>
        <w:spacing w:line="540" w:lineRule="exact"/>
        <w:ind w:firstLine="561"/>
        <w:rPr>
          <w:rFonts w:ascii="仿宋" w:hAnsi="仿宋" w:eastAsia="仿宋" w:cs="仿宋"/>
          <w:sz w:val="28"/>
          <w:szCs w:val="28"/>
        </w:rPr>
      </w:pPr>
      <w:r>
        <w:rPr>
          <w:rFonts w:hint="eastAsia" w:ascii="仿宋" w:hAnsi="仿宋" w:eastAsia="仿宋" w:cs="仿宋"/>
          <w:sz w:val="28"/>
          <w:szCs w:val="28"/>
        </w:rPr>
        <w:t>（二）交流运动员报名人数不超过该组别实际报名人数30%（按四舍五入计）。</w:t>
      </w:r>
    </w:p>
    <w:p w14:paraId="213C36AF">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三）参赛单位通过大会指定的网站www.aijingsai.cn（上海青少年体育赛事网）进行网上报名，并在规定时间内将导出打印的报名表加盖公章后，一式两份报大会组委会竞赛部（地址：徐汇区零陵路800号8楼，竞赛部，31211118）。</w:t>
      </w:r>
    </w:p>
    <w:p w14:paraId="1A39AD36">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（四）各参赛单位须为参赛运动员办理人身意外伤害保险，并携带保单原件或复印件在报到时查验。</w:t>
      </w:r>
    </w:p>
    <w:p w14:paraId="31B6A345">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十、竞赛办法</w:t>
      </w:r>
    </w:p>
    <w:p w14:paraId="46A25FD0">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（一）本次比赛采用国际轮滑联合会及中国轮滑协会最新审定公布的《滑板项目竞赛规则》及相关补充规定。</w:t>
      </w:r>
    </w:p>
    <w:p w14:paraId="5E428EEB">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（二）本次比赛不设种子，以随机方式进行抽签编排。</w:t>
      </w:r>
    </w:p>
    <w:p w14:paraId="3A71BDD7">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（三）赛制：</w:t>
      </w:r>
      <w:r>
        <w:rPr>
          <w:rFonts w:hint="eastAsia" w:ascii="仿宋" w:hAnsi="仿宋" w:eastAsia="仿宋" w:cs="仿宋_GB2312"/>
          <w:sz w:val="28"/>
          <w:szCs w:val="28"/>
        </w:rPr>
        <w:t>设预赛与决赛。</w:t>
      </w:r>
    </w:p>
    <w:p w14:paraId="388CAD3C">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（四）竞赛规则</w:t>
      </w:r>
    </w:p>
    <w:p w14:paraId="39F66A82">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1.街式、碗池比赛设预赛、决赛两个阶段，预赛前8名进入决赛，报名人数不足8名则直接进行决赛。</w:t>
      </w:r>
    </w:p>
    <w:p w14:paraId="3D60BFEA">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2.运动员出场次序由裁判员、教练员联席会议现场抽签决定。预赛中各小项参赛人数不足10人时，分1组比赛；超过10人时，分为4-6人/组，具体组数根据报名情况而定。参加预赛的所有运动员完赛后，对全部运动员按成绩进行排名，确定晋级决赛的运动员名单。</w:t>
      </w:r>
    </w:p>
    <w:p w14:paraId="43AF40CF">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3.街式赛</w:t>
      </w:r>
    </w:p>
    <w:p w14:paraId="35562602">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预赛：在场地范围内，每位运动员拥有两轮线路比赛，每轮45秒，取一轮路线最高得分为最终得分。</w:t>
      </w:r>
    </w:p>
    <w:p w14:paraId="44FCE847">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决赛：采用“3/3/2”赛制，在场地范围内，每位运动员比三轮线路比赛，每轮45秒，再加三轮技巧（“大绝招”）比赛，每轮每人一个动作。取一轮路线最高得分加上一轮大绝招最高得分之和为最终得分。</w:t>
      </w:r>
    </w:p>
    <w:p w14:paraId="3567C58F">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4.碗池赛</w:t>
      </w:r>
    </w:p>
    <w:p w14:paraId="6912C9A7">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比赛分预赛和决赛两个阶段。预赛每名运动员有三轮比赛机会，每轮45秒/人。决赛每名运动员有三轮比赛机会，每轮45秒/人。预赛和决赛比赛中动作失误即停止，本轮比赛结束。</w:t>
      </w:r>
    </w:p>
    <w:p w14:paraId="10CEE92F">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在决赛第三轮结束后，排名前五的运动员进行第四轮“黄金轮次”。黄金轮次按照决赛前五倒序出发，完成第四轮“黄金轮次”比赛（45秒，失误落板即停止）。参加“黄金轮次”比赛的运动员最终成绩取四轮比赛中最佳一轮成绩。</w:t>
      </w:r>
    </w:p>
    <w:p w14:paraId="6F4C086D">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5.比赛期间，运动员因竞赛中产生的伤病原因，经竞委会认定不能参加之后比赛者，已进入决赛的成绩有效，并将此成绩作为决赛决定名次的最终成绩。</w:t>
      </w:r>
    </w:p>
    <w:p w14:paraId="11BFF995">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（五）评分办法</w:t>
      </w:r>
    </w:p>
    <w:p w14:paraId="037C2824">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裁判组将从以下7个方面对运动员完成动作进行打分：</w:t>
      </w:r>
    </w:p>
    <w:p w14:paraId="314B4F33">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1.动作难度：动作本身的难度以及完成该动作所用道具大小；</w:t>
      </w:r>
    </w:p>
    <w:p w14:paraId="312A2574">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2.动作多样性：多样而高难度的动作组合，将会获得更高评分；</w:t>
      </w:r>
    </w:p>
    <w:p w14:paraId="38EBA962">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3.动作执行质量与落地：涵盖风格、速度、距离与高度等；</w:t>
      </w:r>
    </w:p>
    <w:p w14:paraId="43CDF110">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4.场地使用：能够更全面的使用场地道具，鼓励创新、流畅、高难度的线路；</w:t>
      </w:r>
    </w:p>
    <w:p w14:paraId="4EA5D232">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5.连贯性：高难度动作的持续链接，连续完成动作而无摔倒或动作失误；</w:t>
      </w:r>
    </w:p>
    <w:p w14:paraId="4A7DAAC5">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6.流畅性：路线及动作衔接流畅、自然、富有美感；</w:t>
      </w:r>
    </w:p>
    <w:p w14:paraId="05E5D559">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7.动作重复：重复动作或重复使用道具将被扣分。</w:t>
      </w:r>
    </w:p>
    <w:p w14:paraId="6A473E11">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（六）计分办法</w:t>
      </w:r>
    </w:p>
    <w:p w14:paraId="791CFFC7">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1.得分计算：街式、碗池比赛由5名裁判员评分，去掉一个最高分和一个最低分，剩余三个裁判员分数的平均分为参赛运动员的最后得分。</w:t>
      </w:r>
    </w:p>
    <w:p w14:paraId="688D6023">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2.分值量表：0.00至100.00分，使用两位小数。每轮比赛分数精确到小数点后两位。</w:t>
      </w:r>
    </w:p>
    <w:p w14:paraId="45AF34E9">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3.平局决胜制：平局决胜制是指两人或两人以上高分轮得分相同，则根据次高分轮得分排定名次。如果通过这种方式依旧无法决出胜负，则由裁判员进行投票，并由裁判长在计分系统中确定获胜运动员。</w:t>
      </w:r>
    </w:p>
    <w:p w14:paraId="4B0032FA">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（七）弃权规定</w:t>
      </w:r>
    </w:p>
    <w:p w14:paraId="2EA0EFAD">
      <w:pPr>
        <w:snapToGrid w:val="0"/>
        <w:spacing w:line="54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赛前3次点名未到或点名后擅自离开赛场，不能按时上场者，作无故弃权处理。报名后无故弃赛的，取消本人全部成绩。因故不能参赛的，需提前提供运动员所在区体育行政部门出具的相关证明。</w:t>
      </w:r>
    </w:p>
    <w:p w14:paraId="17BAFBAB">
      <w:pPr>
        <w:snapToGrid w:val="0"/>
        <w:spacing w:line="54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（八）竞赛装备和器材</w:t>
      </w:r>
    </w:p>
    <w:p w14:paraId="7B558B0F">
      <w:pPr>
        <w:snapToGrid w:val="0"/>
        <w:spacing w:line="54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1.比赛过程中所有参赛运动员均须佩戴头盔、护具。</w:t>
      </w:r>
    </w:p>
    <w:p w14:paraId="1BC4CAA5">
      <w:pPr>
        <w:snapToGrid w:val="0"/>
        <w:spacing w:line="54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2.各区运动员须着统一比赛服装进入赛场，并参加开幕式和颁奖仪式。</w:t>
      </w:r>
    </w:p>
    <w:p w14:paraId="4827EEB1">
      <w:pPr>
        <w:snapToGrid w:val="0"/>
        <w:spacing w:line="54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3.参赛运动员应使用符合国家安全标准滑板器材参赛，竞赛委员会有权拒绝运动员使用不安全及危险性器材参赛。</w:t>
      </w:r>
    </w:p>
    <w:p w14:paraId="2AAEFAA8">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（九）各竞赛小项参赛人数少于2个参赛单位3人，均不安排比赛。</w:t>
      </w:r>
    </w:p>
    <w:p w14:paraId="15D2C012">
      <w:pPr>
        <w:adjustRightInd w:val="0"/>
        <w:snapToGrid w:val="0"/>
        <w:spacing w:line="54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十一、录取名次、计牌计分和奖励办法</w:t>
      </w:r>
    </w:p>
    <w:p w14:paraId="511F3F7D">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（一）各组别</w:t>
      </w:r>
      <w:r>
        <w:rPr>
          <w:rFonts w:hint="eastAsia" w:ascii="仿宋" w:hAnsi="仿宋" w:eastAsia="仿宋" w:cs="仿宋"/>
          <w:bCs/>
          <w:sz w:val="28"/>
          <w:szCs w:val="28"/>
        </w:rPr>
        <w:t>录取前</w:t>
      </w:r>
      <w:r>
        <w:rPr>
          <w:rFonts w:ascii="仿宋" w:hAnsi="仿宋" w:eastAsia="仿宋" w:cs="仿宋"/>
          <w:bCs/>
          <w:sz w:val="28"/>
          <w:szCs w:val="28"/>
        </w:rPr>
        <w:t>8</w:t>
      </w:r>
      <w:r>
        <w:rPr>
          <w:rFonts w:hint="eastAsia" w:ascii="仿宋" w:hAnsi="仿宋" w:eastAsia="仿宋" w:cs="仿宋"/>
          <w:bCs/>
          <w:sz w:val="28"/>
          <w:szCs w:val="28"/>
        </w:rPr>
        <w:t>名，不足</w:t>
      </w:r>
      <w:r>
        <w:rPr>
          <w:rFonts w:ascii="仿宋" w:hAnsi="仿宋" w:eastAsia="仿宋" w:cs="仿宋"/>
          <w:bCs/>
          <w:sz w:val="28"/>
          <w:szCs w:val="28"/>
        </w:rPr>
        <w:t>8</w:t>
      </w:r>
      <w:r>
        <w:rPr>
          <w:rFonts w:hint="eastAsia" w:ascii="仿宋" w:hAnsi="仿宋" w:eastAsia="仿宋" w:cs="仿宋"/>
          <w:bCs/>
          <w:sz w:val="28"/>
          <w:szCs w:val="28"/>
        </w:rPr>
        <w:t>人参赛的，则按实际参赛人数录取名次。</w:t>
      </w:r>
    </w:p>
    <w:p w14:paraId="0979AB5F">
      <w:pPr>
        <w:adjustRightInd w:val="0"/>
        <w:snapToGrid w:val="0"/>
        <w:spacing w:line="540" w:lineRule="exact"/>
        <w:ind w:firstLine="560" w:firstLineChars="200"/>
        <w:rPr>
          <w:rFonts w:ascii="仿宋" w:hAnsi="仿宋" w:eastAsia="仿宋" w:cs="仿宋"/>
          <w:bCs/>
          <w:sz w:val="28"/>
          <w:szCs w:val="28"/>
        </w:rPr>
      </w:pPr>
      <w:r>
        <w:rPr>
          <w:rFonts w:hint="eastAsia" w:ascii="仿宋" w:hAnsi="仿宋" w:eastAsia="仿宋" w:cs="仿宋"/>
          <w:sz w:val="28"/>
          <w:szCs w:val="28"/>
        </w:rPr>
        <w:t>（二）各组别各小项</w:t>
      </w:r>
      <w:r>
        <w:rPr>
          <w:rFonts w:hint="eastAsia" w:ascii="仿宋" w:hAnsi="仿宋" w:eastAsia="仿宋" w:cs="仿宋"/>
          <w:bCs/>
          <w:sz w:val="28"/>
          <w:szCs w:val="28"/>
        </w:rPr>
        <w:t>前3名依次按1金、1银、1铜计牌，前8名依次按11、9、8、7、6、5、4、3计分。</w:t>
      </w:r>
    </w:p>
    <w:p w14:paraId="6CDAFCD6">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（三）开展“体育道德风尚奖”评选活动，按照本届运动会竞赛规程总则的有关规定执行。</w:t>
      </w:r>
    </w:p>
    <w:p w14:paraId="28229E9F">
      <w:pPr>
        <w:adjustRightInd w:val="0"/>
        <w:snapToGrid w:val="0"/>
        <w:spacing w:line="54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十二、申诉和纪律</w:t>
      </w:r>
    </w:p>
    <w:p w14:paraId="7BFE3346">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（一）如果竞赛分数已经获得裁判长批准并予以公布，则为最终分数，不得再进行申诉。运动员可通</w:t>
      </w:r>
      <w:bookmarkStart w:id="2" w:name="_GoBack"/>
      <w:bookmarkEnd w:id="2"/>
      <w:r>
        <w:rPr>
          <w:rFonts w:hint="eastAsia" w:ascii="仿宋" w:hAnsi="仿宋" w:eastAsia="仿宋" w:cs="仿宋"/>
          <w:sz w:val="28"/>
          <w:szCs w:val="28"/>
        </w:rPr>
        <w:t>过教练员或领队，根据世界轮滑联合会的《解释程序》，申请裁判长在赛后对评判和竞赛相关事宜做出解释，申诉不改变比赛成绩。</w:t>
      </w:r>
    </w:p>
    <w:p w14:paraId="62021052">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二）对运动员、教练员、裁判员和体育赛事组织者违反本届运动会赛风赛纪情形，一经查实，按照《上海市体育赛事活动赛风赛纪管理实施细则》及市运会组委会有关规定处罚。对发生任何兴奋剂违规事件的，按照国家体育总局、上海市体育局反兴奋剂相关规定进行处罚。</w:t>
      </w:r>
    </w:p>
    <w:p w14:paraId="59A5F2E5">
      <w:pPr>
        <w:adjustRightInd w:val="0"/>
        <w:snapToGrid w:val="0"/>
        <w:spacing w:line="54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十三、技术官员</w:t>
      </w:r>
    </w:p>
    <w:p w14:paraId="4E643327">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按照本届运动会竞赛规程总则的有关规定执行。</w:t>
      </w:r>
    </w:p>
    <w:p w14:paraId="750B3196">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十四、运动员技术等级授予</w:t>
      </w:r>
    </w:p>
    <w:p w14:paraId="497A4034">
      <w:pPr>
        <w:adjustRightInd w:val="0"/>
        <w:snapToGrid w:val="0"/>
        <w:spacing w:line="540" w:lineRule="exact"/>
        <w:ind w:firstLine="560" w:firstLineChars="200"/>
        <w:rPr>
          <w:rFonts w:ascii="仿宋" w:hAnsi="仿宋" w:eastAsia="仿宋" w:cs="仿宋"/>
          <w:b/>
          <w:sz w:val="28"/>
          <w:szCs w:val="28"/>
        </w:rPr>
      </w:pPr>
      <w:r>
        <w:rPr>
          <w:rFonts w:hint="eastAsia" w:ascii="仿宋" w:hAnsi="仿宋" w:eastAsia="仿宋" w:cs="仿宋"/>
          <w:bCs/>
          <w:color w:val="000000"/>
          <w:sz w:val="28"/>
          <w:szCs w:val="28"/>
        </w:rPr>
        <w:t>本次比赛为2026年国家体育总局公布的可授予运动员技术等级称号赛事，本次比赛A组为可授予运动员技术等级的组别，具体标准按国家体育总局最新发布的《滑板项目运动员技术等级标准》执行。</w:t>
      </w:r>
    </w:p>
    <w:p w14:paraId="71FDD657">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十五、其他</w:t>
      </w:r>
    </w:p>
    <w:p w14:paraId="3214C470">
      <w:pPr>
        <w:adjustRightInd w:val="0"/>
        <w:snapToGrid w:val="0"/>
        <w:spacing w:line="54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（一）如本规程内容与本届运动会竞赛规程总则或上海市体育局相关规定发生冲突，则以本届运动会总则或上海市体育局规定为准。</w:t>
      </w:r>
    </w:p>
    <w:p w14:paraId="61C0C7D7">
      <w:pPr>
        <w:adjustRightInd w:val="0"/>
        <w:snapToGrid w:val="0"/>
        <w:spacing w:line="540" w:lineRule="exact"/>
        <w:ind w:firstLine="560" w:firstLineChars="200"/>
        <w:rPr>
          <w:rFonts w:ascii="仿宋" w:hAnsi="仿宋" w:eastAsia="仿宋" w:cs="仿宋"/>
          <w:color w:val="000000"/>
          <w:sz w:val="28"/>
          <w:szCs w:val="28"/>
        </w:rPr>
      </w:pPr>
      <w:bookmarkStart w:id="1" w:name="_Hlk162361054"/>
      <w:r>
        <w:rPr>
          <w:rFonts w:hint="eastAsia" w:ascii="仿宋" w:hAnsi="仿宋" w:eastAsia="仿宋" w:cs="仿宋"/>
          <w:color w:val="000000"/>
          <w:sz w:val="28"/>
          <w:szCs w:val="28"/>
        </w:rPr>
        <w:t>（二）参赛单位运动员、教练员应知晓体育竞赛的相关风险，确保自己身体状况符合参赛要求，自行承担非承办单位故意或重大过失导致的伤害。</w:t>
      </w:r>
      <w:bookmarkEnd w:id="1"/>
    </w:p>
    <w:p w14:paraId="3BBF6410">
      <w:pPr>
        <w:adjustRightInd w:val="0"/>
        <w:snapToGrid w:val="0"/>
        <w:spacing w:line="54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（三）未尽事宜，另行通知。</w:t>
      </w:r>
    </w:p>
    <w:p w14:paraId="386E954D">
      <w:pPr>
        <w:spacing w:line="540" w:lineRule="exact"/>
      </w:pPr>
    </w:p>
    <w:sectPr>
      <w:footnotePr>
        <w:numRestart w:val="eachPage"/>
      </w:footnotePr>
      <w:type w:val="continuous"/>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Page"/>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278A"/>
    <w:rsid w:val="00011943"/>
    <w:rsid w:val="00026F96"/>
    <w:rsid w:val="0003644D"/>
    <w:rsid w:val="00050F98"/>
    <w:rsid w:val="00067452"/>
    <w:rsid w:val="00070B7C"/>
    <w:rsid w:val="000909BE"/>
    <w:rsid w:val="000B0129"/>
    <w:rsid w:val="001425FD"/>
    <w:rsid w:val="00171868"/>
    <w:rsid w:val="00183278"/>
    <w:rsid w:val="00193336"/>
    <w:rsid w:val="001B7C93"/>
    <w:rsid w:val="001C0439"/>
    <w:rsid w:val="001C195C"/>
    <w:rsid w:val="001C2381"/>
    <w:rsid w:val="00202C07"/>
    <w:rsid w:val="00217CA9"/>
    <w:rsid w:val="002278F5"/>
    <w:rsid w:val="00237DC8"/>
    <w:rsid w:val="00245981"/>
    <w:rsid w:val="002478B4"/>
    <w:rsid w:val="002A225D"/>
    <w:rsid w:val="002C023D"/>
    <w:rsid w:val="002C1676"/>
    <w:rsid w:val="002D6B5F"/>
    <w:rsid w:val="002E5BEE"/>
    <w:rsid w:val="002E6F49"/>
    <w:rsid w:val="00304C69"/>
    <w:rsid w:val="003173DB"/>
    <w:rsid w:val="003611FB"/>
    <w:rsid w:val="0038156C"/>
    <w:rsid w:val="003A2F7B"/>
    <w:rsid w:val="003A6499"/>
    <w:rsid w:val="003D678E"/>
    <w:rsid w:val="003E1C86"/>
    <w:rsid w:val="00403BDE"/>
    <w:rsid w:val="00431B88"/>
    <w:rsid w:val="0044278A"/>
    <w:rsid w:val="004C4AA5"/>
    <w:rsid w:val="004E07DD"/>
    <w:rsid w:val="004E5D58"/>
    <w:rsid w:val="004E69FB"/>
    <w:rsid w:val="00513272"/>
    <w:rsid w:val="00566702"/>
    <w:rsid w:val="00574DF1"/>
    <w:rsid w:val="00586286"/>
    <w:rsid w:val="005B7F94"/>
    <w:rsid w:val="005E49BF"/>
    <w:rsid w:val="005F4284"/>
    <w:rsid w:val="005F6A57"/>
    <w:rsid w:val="00607D0B"/>
    <w:rsid w:val="006640A8"/>
    <w:rsid w:val="0067293C"/>
    <w:rsid w:val="00695DB7"/>
    <w:rsid w:val="006B793D"/>
    <w:rsid w:val="006C168B"/>
    <w:rsid w:val="006D1FB6"/>
    <w:rsid w:val="006E618D"/>
    <w:rsid w:val="00724AF3"/>
    <w:rsid w:val="00753C55"/>
    <w:rsid w:val="00761504"/>
    <w:rsid w:val="007B392C"/>
    <w:rsid w:val="007F7F85"/>
    <w:rsid w:val="00801977"/>
    <w:rsid w:val="00821435"/>
    <w:rsid w:val="0084464A"/>
    <w:rsid w:val="00852720"/>
    <w:rsid w:val="0085385F"/>
    <w:rsid w:val="00866312"/>
    <w:rsid w:val="00866809"/>
    <w:rsid w:val="008836B5"/>
    <w:rsid w:val="008D7DD9"/>
    <w:rsid w:val="00931A9F"/>
    <w:rsid w:val="00932F71"/>
    <w:rsid w:val="00974144"/>
    <w:rsid w:val="00981015"/>
    <w:rsid w:val="009A7561"/>
    <w:rsid w:val="009B1936"/>
    <w:rsid w:val="009C3DB4"/>
    <w:rsid w:val="009F542B"/>
    <w:rsid w:val="009F5A60"/>
    <w:rsid w:val="009F7ED0"/>
    <w:rsid w:val="00A0637D"/>
    <w:rsid w:val="00A32DC7"/>
    <w:rsid w:val="00A73759"/>
    <w:rsid w:val="00AC0458"/>
    <w:rsid w:val="00AC1428"/>
    <w:rsid w:val="00AC23F7"/>
    <w:rsid w:val="00B01952"/>
    <w:rsid w:val="00B01F6A"/>
    <w:rsid w:val="00B07699"/>
    <w:rsid w:val="00B25925"/>
    <w:rsid w:val="00B41B96"/>
    <w:rsid w:val="00B70F60"/>
    <w:rsid w:val="00B74E94"/>
    <w:rsid w:val="00B86744"/>
    <w:rsid w:val="00B923F2"/>
    <w:rsid w:val="00B92601"/>
    <w:rsid w:val="00BA2FDD"/>
    <w:rsid w:val="00BB18A2"/>
    <w:rsid w:val="00BB67C2"/>
    <w:rsid w:val="00BC0971"/>
    <w:rsid w:val="00BC3FB5"/>
    <w:rsid w:val="00BE1837"/>
    <w:rsid w:val="00BF3C99"/>
    <w:rsid w:val="00BF55AB"/>
    <w:rsid w:val="00BF7FD5"/>
    <w:rsid w:val="00C1739B"/>
    <w:rsid w:val="00C318CD"/>
    <w:rsid w:val="00C46E44"/>
    <w:rsid w:val="00C56157"/>
    <w:rsid w:val="00C6729E"/>
    <w:rsid w:val="00C70043"/>
    <w:rsid w:val="00C867F2"/>
    <w:rsid w:val="00CD1ABE"/>
    <w:rsid w:val="00CD70C9"/>
    <w:rsid w:val="00D16431"/>
    <w:rsid w:val="00D244EE"/>
    <w:rsid w:val="00D35370"/>
    <w:rsid w:val="00D550F0"/>
    <w:rsid w:val="00D70352"/>
    <w:rsid w:val="00D73E44"/>
    <w:rsid w:val="00D77830"/>
    <w:rsid w:val="00D856A5"/>
    <w:rsid w:val="00DA69A1"/>
    <w:rsid w:val="00DA76A5"/>
    <w:rsid w:val="00DB5F28"/>
    <w:rsid w:val="00DC5386"/>
    <w:rsid w:val="00E20ABE"/>
    <w:rsid w:val="00E51289"/>
    <w:rsid w:val="00E52736"/>
    <w:rsid w:val="00E6678A"/>
    <w:rsid w:val="00E974A0"/>
    <w:rsid w:val="00EC7151"/>
    <w:rsid w:val="00F03ACB"/>
    <w:rsid w:val="00F11F71"/>
    <w:rsid w:val="00F12DFF"/>
    <w:rsid w:val="00F16E78"/>
    <w:rsid w:val="00F52FCA"/>
    <w:rsid w:val="00F83879"/>
    <w:rsid w:val="00F87B42"/>
    <w:rsid w:val="00F93AA1"/>
    <w:rsid w:val="00F97BCB"/>
    <w:rsid w:val="00FE5FC6"/>
    <w:rsid w:val="122D52DF"/>
    <w:rsid w:val="15DF7B3C"/>
    <w:rsid w:val="2AC97C2B"/>
    <w:rsid w:val="2DA717B3"/>
    <w:rsid w:val="35B61E27"/>
    <w:rsid w:val="399530D6"/>
    <w:rsid w:val="4C3677AE"/>
    <w:rsid w:val="6AE71E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99"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qFormat="1" w:unhideWhenUsed="0" w:uiPriority="99" w:semiHidden="0" w:name="endnote reference"/>
    <w:lsdException w:qFormat="1" w:unhideWhenUsed="0" w:uiPriority="99"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caption"/>
    <w:basedOn w:val="1"/>
    <w:next w:val="1"/>
    <w:qFormat/>
    <w:uiPriority w:val="35"/>
    <w:rPr>
      <w:rFonts w:ascii="Cambria" w:hAnsi="Cambria" w:eastAsia="黑体" w:cs="宋体"/>
      <w:sz w:val="20"/>
      <w:szCs w:val="20"/>
    </w:rPr>
  </w:style>
  <w:style w:type="paragraph" w:styleId="3">
    <w:name w:val="annotation text"/>
    <w:basedOn w:val="1"/>
    <w:link w:val="20"/>
    <w:qFormat/>
    <w:uiPriority w:val="99"/>
    <w:pPr>
      <w:jc w:val="left"/>
    </w:pPr>
  </w:style>
  <w:style w:type="paragraph" w:styleId="4">
    <w:name w:val="endnote text"/>
    <w:basedOn w:val="1"/>
    <w:link w:val="23"/>
    <w:qFormat/>
    <w:uiPriority w:val="99"/>
    <w:pPr>
      <w:snapToGrid w:val="0"/>
      <w:jc w:val="left"/>
    </w:pPr>
  </w:style>
  <w:style w:type="paragraph" w:styleId="5">
    <w:name w:val="Balloon Text"/>
    <w:basedOn w:val="1"/>
    <w:link w:val="19"/>
    <w:qFormat/>
    <w:uiPriority w:val="99"/>
    <w:rPr>
      <w:sz w:val="18"/>
      <w:szCs w:val="18"/>
    </w:rPr>
  </w:style>
  <w:style w:type="paragraph" w:styleId="6">
    <w:name w:val="footer"/>
    <w:basedOn w:val="1"/>
    <w:link w:val="17"/>
    <w:qFormat/>
    <w:uiPriority w:val="99"/>
    <w:pPr>
      <w:tabs>
        <w:tab w:val="center" w:pos="4153"/>
        <w:tab w:val="right" w:pos="8306"/>
      </w:tabs>
      <w:snapToGrid w:val="0"/>
      <w:jc w:val="left"/>
    </w:pPr>
    <w:rPr>
      <w:sz w:val="18"/>
      <w:szCs w:val="18"/>
    </w:rPr>
  </w:style>
  <w:style w:type="paragraph" w:styleId="7">
    <w:name w:val="header"/>
    <w:basedOn w:val="1"/>
    <w:link w:val="16"/>
    <w:qFormat/>
    <w:uiPriority w:val="99"/>
    <w:pPr>
      <w:pBdr>
        <w:bottom w:val="single" w:color="auto" w:sz="6" w:space="1"/>
      </w:pBdr>
      <w:tabs>
        <w:tab w:val="center" w:pos="4153"/>
        <w:tab w:val="right" w:pos="8306"/>
      </w:tabs>
      <w:snapToGrid w:val="0"/>
      <w:jc w:val="center"/>
    </w:pPr>
    <w:rPr>
      <w:sz w:val="18"/>
      <w:szCs w:val="18"/>
    </w:rPr>
  </w:style>
  <w:style w:type="paragraph" w:styleId="8">
    <w:name w:val="footnote text"/>
    <w:basedOn w:val="1"/>
    <w:link w:val="22"/>
    <w:qFormat/>
    <w:uiPriority w:val="99"/>
    <w:pPr>
      <w:snapToGrid w:val="0"/>
      <w:jc w:val="left"/>
    </w:pPr>
    <w:rPr>
      <w:sz w:val="18"/>
      <w:szCs w:val="18"/>
    </w:rPr>
  </w:style>
  <w:style w:type="paragraph" w:styleId="9">
    <w:name w:val="annotation subject"/>
    <w:basedOn w:val="3"/>
    <w:next w:val="3"/>
    <w:link w:val="21"/>
    <w:qFormat/>
    <w:uiPriority w:val="99"/>
    <w:rPr>
      <w:b/>
      <w:bCs/>
    </w:rPr>
  </w:style>
  <w:style w:type="character" w:styleId="12">
    <w:name w:val="endnote reference"/>
    <w:basedOn w:val="11"/>
    <w:qFormat/>
    <w:uiPriority w:val="99"/>
    <w:rPr>
      <w:vertAlign w:val="superscript"/>
    </w:rPr>
  </w:style>
  <w:style w:type="character" w:styleId="13">
    <w:name w:val="Hyperlink"/>
    <w:basedOn w:val="11"/>
    <w:qFormat/>
    <w:uiPriority w:val="99"/>
    <w:rPr>
      <w:color w:val="0000FF"/>
      <w:u w:val="single"/>
    </w:rPr>
  </w:style>
  <w:style w:type="character" w:styleId="14">
    <w:name w:val="annotation reference"/>
    <w:basedOn w:val="11"/>
    <w:qFormat/>
    <w:uiPriority w:val="99"/>
    <w:rPr>
      <w:sz w:val="21"/>
      <w:szCs w:val="21"/>
    </w:rPr>
  </w:style>
  <w:style w:type="character" w:styleId="15">
    <w:name w:val="footnote reference"/>
    <w:basedOn w:val="11"/>
    <w:qFormat/>
    <w:uiPriority w:val="99"/>
    <w:rPr>
      <w:vertAlign w:val="superscript"/>
    </w:rPr>
  </w:style>
  <w:style w:type="character" w:customStyle="1" w:styleId="16">
    <w:name w:val="页眉 字符"/>
    <w:basedOn w:val="11"/>
    <w:link w:val="7"/>
    <w:qFormat/>
    <w:uiPriority w:val="99"/>
    <w:rPr>
      <w:rFonts w:ascii="Calibri" w:hAnsi="Calibri" w:eastAsia="宋体" w:cs="Times New Roman"/>
      <w:sz w:val="18"/>
      <w:szCs w:val="18"/>
    </w:rPr>
  </w:style>
  <w:style w:type="character" w:customStyle="1" w:styleId="17">
    <w:name w:val="页脚 字符"/>
    <w:basedOn w:val="11"/>
    <w:link w:val="6"/>
    <w:qFormat/>
    <w:uiPriority w:val="99"/>
    <w:rPr>
      <w:rFonts w:ascii="Calibri" w:hAnsi="Calibri" w:eastAsia="宋体" w:cs="Times New Roman"/>
      <w:sz w:val="18"/>
      <w:szCs w:val="18"/>
    </w:rPr>
  </w:style>
  <w:style w:type="paragraph" w:styleId="18">
    <w:name w:val="List Paragraph"/>
    <w:basedOn w:val="1"/>
    <w:qFormat/>
    <w:uiPriority w:val="34"/>
    <w:pPr>
      <w:ind w:firstLine="420" w:firstLineChars="200"/>
    </w:pPr>
  </w:style>
  <w:style w:type="character" w:customStyle="1" w:styleId="19">
    <w:name w:val="批注框文本 字符"/>
    <w:basedOn w:val="11"/>
    <w:link w:val="5"/>
    <w:qFormat/>
    <w:uiPriority w:val="99"/>
    <w:rPr>
      <w:rFonts w:ascii="Calibri" w:hAnsi="Calibri" w:eastAsia="宋体" w:cs="Times New Roman"/>
      <w:kern w:val="2"/>
      <w:sz w:val="18"/>
      <w:szCs w:val="18"/>
    </w:rPr>
  </w:style>
  <w:style w:type="character" w:customStyle="1" w:styleId="20">
    <w:name w:val="批注文字 字符"/>
    <w:basedOn w:val="11"/>
    <w:link w:val="3"/>
    <w:qFormat/>
    <w:uiPriority w:val="99"/>
    <w:rPr>
      <w:rFonts w:ascii="Calibri" w:hAnsi="Calibri" w:eastAsia="宋体" w:cs="Times New Roman"/>
      <w:kern w:val="2"/>
      <w:sz w:val="21"/>
      <w:szCs w:val="24"/>
    </w:rPr>
  </w:style>
  <w:style w:type="character" w:customStyle="1" w:styleId="21">
    <w:name w:val="批注主题 字符"/>
    <w:basedOn w:val="20"/>
    <w:link w:val="9"/>
    <w:qFormat/>
    <w:uiPriority w:val="0"/>
    <w:rPr>
      <w:rFonts w:ascii="Calibri" w:hAnsi="Calibri" w:eastAsia="宋体" w:cs="Times New Roman"/>
      <w:kern w:val="2"/>
      <w:sz w:val="21"/>
      <w:szCs w:val="24"/>
    </w:rPr>
  </w:style>
  <w:style w:type="character" w:customStyle="1" w:styleId="22">
    <w:name w:val="脚注文本 字符"/>
    <w:basedOn w:val="11"/>
    <w:link w:val="8"/>
    <w:qFormat/>
    <w:uiPriority w:val="99"/>
    <w:rPr>
      <w:rFonts w:ascii="Calibri" w:hAnsi="Calibri" w:eastAsia="宋体" w:cs="Times New Roman"/>
      <w:kern w:val="2"/>
      <w:sz w:val="18"/>
      <w:szCs w:val="18"/>
    </w:rPr>
  </w:style>
  <w:style w:type="character" w:customStyle="1" w:styleId="23">
    <w:name w:val="尾注文本 字符"/>
    <w:basedOn w:val="11"/>
    <w:link w:val="4"/>
    <w:qFormat/>
    <w:uiPriority w:val="99"/>
    <w:rPr>
      <w:rFonts w:ascii="Calibri" w:hAnsi="Calibri" w:eastAsia="宋体" w:cs="Times New Roman"/>
      <w:kern w:val="2"/>
      <w:sz w:val="21"/>
      <w:szCs w:val="24"/>
    </w:rPr>
  </w:style>
  <w:style w:type="paragraph" w:customStyle="1" w:styleId="24">
    <w:name w:val="Table Text"/>
    <w:basedOn w:val="1"/>
    <w:semiHidden/>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通过公</b:Tag>
    <b:SourceType>Book</b:SourceType>
    <b:Guid>{82C0E58A-A785-48EF-9EC2-E60ACD13410E}</b:Guid>
    <b:Author>
      <b:Author>
        <b:NameList>
          <b:Person>
            <b:Last>通过公开申办，受主办方直接委托或管辖，直接参与赛事执行</b:Last>
          </b:Person>
        </b:NameList>
      </b:Author>
    </b:Author>
    <b:RefOrder>2</b:RefOrder>
  </b:Source>
  <b:Source>
    <b:Tag>通过公1</b:Tag>
    <b:SourceType>Book</b:SourceType>
    <b:Guid>{6737C864-A0B9-4D0D-904E-A66A7D59E19E}</b:Guid>
    <b:Author>
      <b:Author>
        <b:NameList>
          <b:Person>
            <b:Last>通过公开申办，受主办方直接委托或管辖，直接参与赛事执行</b:Last>
          </b:Person>
        </b:NameList>
      </b:Author>
    </b:Author>
    <b:RefOrder>1</b:RefOrder>
  </b:Source>
</b:Sources>
</file>

<file path=customXml/item2.xml><?xml version="1.0" encoding="utf-8"?>
<contractReview xmlns="http://schemas.wps.cn/vas-ai-hub/contract-review">
  <reviewItems>
    <reviewItem>
      <errorID>7289559d-0dfe-4740-8ca2-31de020ac6ee</errorID>
      <errorWord>(</errorWord>
      <group>L1_Format</group>
      <groupName>格式问题</groupName>
      <ability>L2_HalfPunc</ability>
      <abilityName>全半角检查</abilityName>
      <candidateList>
        <item>（</item>
      </candidateList>
      <explain>文本全半角错误。</explain>
      <paraID>2D1CFD2D</paraID>
      <start>6</start>
      <end>7</end>
      <status>unmodified</status>
      <modifiedWord/>
      <trackRevisions>false</trackRevisions>
    </reviewItem>
    <reviewItem>
      <errorID>7564726c-8a88-46fd-af50-caf8070306a5</errorID>
      <errorWord>)</errorWord>
      <group>L1_Format</group>
      <groupName>格式问题</groupName>
      <ability>L2_HalfPunc</ability>
      <abilityName>全半角检查</abilityName>
      <candidateList>
        <item>）</item>
      </candidateList>
      <explain>文本全半角错误。</explain>
      <paraID>2D1CFD2D</paraID>
      <start>11</start>
      <end>12</end>
      <status>unmodified</status>
      <modifiedWord/>
      <trackRevisions>false</trackRevisions>
    </reviewItem>
    <reviewItem>
      <errorID>a93905b0-75f3-44e3-9dab-fcb593d0a656</errorID>
      <errorWord>(</errorWord>
      <group>L1_Format</group>
      <groupName>格式问题</groupName>
      <ability>L2_HalfPunc</ability>
      <abilityName>全半角检查</abilityName>
      <candidateList>
        <item>（</item>
      </candidateList>
      <explain>文本全半角错误。</explain>
      <paraID> D779A79</paraID>
      <start>16</start>
      <end>17</end>
      <status>unmodified</status>
      <modifiedWord/>
      <trackRevisions>false</trackRevisions>
    </reviewItem>
    <reviewItem>
      <errorID>9190d1fa-682b-41e9-8948-12d0c2d6750b</errorID>
      <errorWord>)</errorWord>
      <group>L1_Format</group>
      <groupName>格式问题</groupName>
      <ability>L2_HalfPunc</ability>
      <abilityName>全半角检查</abilityName>
      <candidateList>
        <item>）</item>
      </candidateList>
      <explain>文本全半角错误。</explain>
      <paraID> D779A79</paraID>
      <start>22</start>
      <end>23</end>
      <status>unmodified</status>
      <modifiedWord/>
      <trackRevisions>false</trackRevisions>
    </reviewItem>
    <reviewItem>
      <errorID>99ddfa85-af39-4d0f-9b1e-7cf9f385a50e</errorID>
      <errorWord>)</errorWord>
      <group>L1_Format</group>
      <groupName>格式问题</groupName>
      <ability>L2_HalfPunc</ability>
      <abilityName>全半角检查</abilityName>
      <candidateList>
        <item>）</item>
      </candidateList>
      <explain>文本全半角错误。</explain>
      <paraID>6ECD71AF</paraID>
      <start>6</start>
      <end>7</end>
      <status>unmodified</status>
      <modifiedWord/>
      <trackRevisions>false</trackRevisions>
    </reviewItem>
  </reviewItems>
  <config/>
</contractReview>
</file>

<file path=customXml/itemProps1.xml><?xml version="1.0" encoding="utf-8"?>
<ds:datastoreItem xmlns:ds="http://schemas.openxmlformats.org/officeDocument/2006/customXml" ds:itemID="{625654C5-9F47-415F-B547-D9502E78804C}">
  <ds:schemaRefs/>
</ds:datastoreItem>
</file>

<file path=customXml/itemProps2.xml><?xml version="1.0" encoding="utf-8"?>
<ds:datastoreItem xmlns:ds="http://schemas.openxmlformats.org/officeDocument/2006/customXml" ds:itemID="{33F61D48-2B8E-4958-8BFA-8A2501A1CF9E}">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6</Pages>
  <Words>2912</Words>
  <Characters>3038</Characters>
  <Lines>22</Lines>
  <Paragraphs>6</Paragraphs>
  <TotalTime>287</TotalTime>
  <ScaleCrop>false</ScaleCrop>
  <LinksUpToDate>false</LinksUpToDate>
  <CharactersWithSpaces>3039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2022-01-21T06:02:00Z</dcterms:created>
  <dc:creator>微软中国</dc:creator>
  <cp:lastModifiedBy>Xiangyou</cp:lastModifiedBy>
  <cp:lastPrinted>2025-12-17T07:37:00Z</cp:lastPrinted>
  <dcterms:modified xsi:type="dcterms:W3CDTF">2026-05-07T02:48:40Z</dcterms:modified>
  <cp:revision>163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064F46007B594BA58BA499EBE45CE2A6_13</vt:lpwstr>
  </property>
  <property fmtid="{D5CDD505-2E9C-101B-9397-08002B2CF9AE}" pid="4" name="KSOTemplateDocerSaveRecord">
    <vt:lpwstr>eyJoZGlkIjoiNjA2NmNjZDM3NzUzZGJhY2I3OTc1NzBkNDI5NDdhNTkiLCJ1c2VySWQiOiIxNDQ2MzUxODYzIn0=</vt:lpwstr>
  </property>
</Properties>
</file>