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C4D6B">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上海市第十八届运动会攀岩比赛（青少年组）</w:t>
      </w:r>
    </w:p>
    <w:p w14:paraId="3E62A443">
      <w:pPr>
        <w:snapToGrid w:val="0"/>
        <w:spacing w:line="540" w:lineRule="exact"/>
        <w:jc w:val="center"/>
        <w:rPr>
          <w:rFonts w:ascii="宋体" w:hAnsi="宋体" w:cs="宋体"/>
          <w:b/>
          <w:bCs/>
          <w:sz w:val="36"/>
          <w:szCs w:val="36"/>
        </w:rPr>
      </w:pPr>
      <w:r>
        <w:rPr>
          <w:rFonts w:hint="eastAsia" w:ascii="宋体" w:hAnsi="宋体" w:cs="宋体"/>
          <w:b/>
          <w:bCs/>
          <w:sz w:val="36"/>
          <w:szCs w:val="36"/>
        </w:rPr>
        <w:t>竞赛规程</w:t>
      </w:r>
    </w:p>
    <w:p w14:paraId="04E86CB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639E5867">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二、承办单位：</w:t>
      </w:r>
      <w:r>
        <w:rPr>
          <w:rFonts w:hint="eastAsia" w:ascii="仿宋" w:hAnsi="仿宋" w:eastAsia="仿宋" w:cs="仿宋"/>
          <w:sz w:val="28"/>
          <w:szCs w:val="28"/>
        </w:rPr>
        <w:t>上海市奉贤区体育局</w:t>
      </w:r>
      <w:r>
        <w:rPr>
          <w:rFonts w:hint="eastAsia" w:ascii="仿宋" w:hAnsi="仿宋" w:eastAsia="仿宋" w:cs="仿宋"/>
          <w:b/>
          <w:sz w:val="28"/>
          <w:szCs w:val="28"/>
        </w:rPr>
        <w:t>、</w:t>
      </w:r>
      <w:r>
        <w:rPr>
          <w:rFonts w:hint="eastAsia" w:ascii="仿宋" w:hAnsi="仿宋" w:eastAsia="仿宋" w:cs="仿宋"/>
          <w:sz w:val="28"/>
          <w:szCs w:val="28"/>
        </w:rPr>
        <w:t>上海市登山户外运动协会</w:t>
      </w:r>
    </w:p>
    <w:p w14:paraId="031D00EA">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三、协办单位：</w:t>
      </w:r>
      <w:r>
        <w:rPr>
          <w:rFonts w:hint="eastAsia" w:ascii="仿宋" w:hAnsi="仿宋" w:eastAsia="仿宋" w:cs="仿宋"/>
          <w:sz w:val="28"/>
          <w:szCs w:val="28"/>
        </w:rPr>
        <w:t>上海市奉贤区体育中心</w:t>
      </w:r>
    </w:p>
    <w:p w14:paraId="70D9CBFA">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上海翊晟宸体育发展有限公司</w:t>
      </w:r>
    </w:p>
    <w:p w14:paraId="6E73310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四、竞赛日期：</w:t>
      </w:r>
      <w:r>
        <w:rPr>
          <w:rFonts w:hint="eastAsia" w:ascii="仿宋" w:hAnsi="仿宋" w:eastAsia="仿宋" w:cs="仿宋"/>
          <w:sz w:val="28"/>
          <w:szCs w:val="28"/>
        </w:rPr>
        <w:t>2026年</w:t>
      </w:r>
      <w:r>
        <w:rPr>
          <w:rFonts w:ascii="仿宋" w:hAnsi="仿宋" w:eastAsia="仿宋" w:cs="仿宋"/>
          <w:sz w:val="28"/>
          <w:szCs w:val="28"/>
        </w:rPr>
        <w:t>10</w:t>
      </w:r>
      <w:r>
        <w:rPr>
          <w:rFonts w:hint="eastAsia" w:ascii="仿宋" w:hAnsi="仿宋" w:eastAsia="仿宋" w:cs="仿宋"/>
          <w:sz w:val="28"/>
          <w:szCs w:val="28"/>
        </w:rPr>
        <w:t>月（具体时间待定）</w:t>
      </w:r>
    </w:p>
    <w:p w14:paraId="2D38AEFD">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五、竞赛地点：</w:t>
      </w:r>
      <w:r>
        <w:rPr>
          <w:rFonts w:hint="eastAsia" w:ascii="仿宋" w:hAnsi="仿宋" w:eastAsia="仿宋" w:cs="仿宋"/>
          <w:sz w:val="28"/>
          <w:szCs w:val="28"/>
        </w:rPr>
        <w:t>上海市奉贤区体育中心攀岩馆（上海市奉贤区古华南路100号）</w:t>
      </w:r>
      <w:r>
        <w:rPr>
          <w:rFonts w:ascii="仿宋" w:hAnsi="仿宋" w:eastAsia="仿宋" w:cs="仿宋"/>
          <w:sz w:val="28"/>
          <w:szCs w:val="28"/>
        </w:rPr>
        <w:t xml:space="preserve"> </w:t>
      </w:r>
    </w:p>
    <w:p w14:paraId="729DDC0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六、参赛单位</w:t>
      </w:r>
      <w:r>
        <w:rPr>
          <w:rFonts w:hint="eastAsia" w:ascii="仿宋" w:hAnsi="仿宋" w:eastAsia="仿宋" w:cs="仿宋"/>
          <w:sz w:val="28"/>
          <w:szCs w:val="28"/>
        </w:rPr>
        <w:t>：本市各区</w:t>
      </w:r>
    </w:p>
    <w:p w14:paraId="2D0DDFC4">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七、年龄组别和小项设置</w:t>
      </w:r>
    </w:p>
    <w:tbl>
      <w:tblPr>
        <w:tblStyle w:val="10"/>
        <w:tblW w:w="844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87"/>
        <w:gridCol w:w="2120"/>
        <w:gridCol w:w="1066"/>
        <w:gridCol w:w="2200"/>
        <w:gridCol w:w="2267"/>
      </w:tblGrid>
      <w:tr w14:paraId="020F0E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787" w:type="dxa"/>
            <w:tcBorders>
              <w:top w:val="single" w:color="000000" w:sz="6" w:space="0"/>
              <w:left w:val="single" w:color="000000" w:sz="6" w:space="0"/>
              <w:bottom w:val="single" w:color="000000" w:sz="6" w:space="0"/>
              <w:right w:val="single" w:color="000000" w:sz="6" w:space="0"/>
            </w:tcBorders>
            <w:vAlign w:val="center"/>
          </w:tcPr>
          <w:p w14:paraId="084E2E1C">
            <w:pPr>
              <w:ind w:left="9"/>
              <w:jc w:val="center"/>
              <w:rPr>
                <w:rFonts w:ascii="仿宋" w:hAnsi="仿宋" w:eastAsia="仿宋" w:cs="仿宋"/>
                <w:sz w:val="22"/>
                <w:szCs w:val="22"/>
              </w:rPr>
            </w:pPr>
            <w:r>
              <w:rPr>
                <w:rFonts w:hint="eastAsia" w:ascii="仿宋" w:hAnsi="仿宋" w:eastAsia="仿宋" w:cs="仿宋"/>
                <w:b/>
                <w:bCs/>
                <w:sz w:val="22"/>
                <w:szCs w:val="22"/>
              </w:rPr>
              <w:t>组别</w:t>
            </w:r>
          </w:p>
        </w:tc>
        <w:tc>
          <w:tcPr>
            <w:tcW w:w="2120" w:type="dxa"/>
            <w:tcBorders>
              <w:top w:val="single" w:color="000000" w:sz="6" w:space="0"/>
              <w:left w:val="single" w:color="000000" w:sz="6" w:space="0"/>
              <w:bottom w:val="single" w:color="000000" w:sz="6" w:space="0"/>
              <w:right w:val="single" w:color="000000" w:sz="6" w:space="0"/>
            </w:tcBorders>
            <w:vAlign w:val="center"/>
          </w:tcPr>
          <w:p w14:paraId="3A4B9BB9">
            <w:pPr>
              <w:ind w:left="23"/>
              <w:jc w:val="center"/>
              <w:rPr>
                <w:rFonts w:ascii="仿宋" w:hAnsi="仿宋" w:eastAsia="仿宋" w:cs="仿宋"/>
                <w:sz w:val="22"/>
                <w:szCs w:val="22"/>
              </w:rPr>
            </w:pPr>
            <w:r>
              <w:rPr>
                <w:rFonts w:hint="eastAsia" w:ascii="仿宋" w:hAnsi="仿宋" w:eastAsia="仿宋" w:cs="仿宋"/>
                <w:b/>
                <w:bCs/>
                <w:sz w:val="22"/>
                <w:szCs w:val="22"/>
              </w:rPr>
              <w:t>年龄段</w:t>
            </w:r>
          </w:p>
        </w:tc>
        <w:tc>
          <w:tcPr>
            <w:tcW w:w="1066" w:type="dxa"/>
            <w:tcBorders>
              <w:top w:val="single" w:color="000000" w:sz="6" w:space="0"/>
              <w:left w:val="single" w:color="000000" w:sz="6" w:space="0"/>
              <w:bottom w:val="single" w:color="000000" w:sz="6" w:space="0"/>
              <w:right w:val="single" w:color="000000" w:sz="6" w:space="0"/>
            </w:tcBorders>
            <w:vAlign w:val="center"/>
          </w:tcPr>
          <w:p w14:paraId="01A1E0DA">
            <w:pPr>
              <w:ind w:left="49"/>
              <w:jc w:val="center"/>
              <w:rPr>
                <w:rFonts w:ascii="仿宋" w:hAnsi="仿宋" w:eastAsia="仿宋" w:cs="仿宋"/>
                <w:sz w:val="22"/>
                <w:szCs w:val="22"/>
              </w:rPr>
            </w:pPr>
            <w:r>
              <w:rPr>
                <w:rFonts w:hint="eastAsia" w:ascii="仿宋" w:hAnsi="仿宋" w:eastAsia="仿宋" w:cs="仿宋"/>
                <w:b/>
                <w:bCs/>
                <w:sz w:val="22"/>
                <w:szCs w:val="22"/>
              </w:rPr>
              <w:t>设项数</w:t>
            </w:r>
          </w:p>
        </w:tc>
        <w:tc>
          <w:tcPr>
            <w:tcW w:w="2200" w:type="dxa"/>
            <w:tcBorders>
              <w:top w:val="single" w:color="000000" w:sz="6" w:space="0"/>
              <w:left w:val="single" w:color="000000" w:sz="6" w:space="0"/>
              <w:bottom w:val="single" w:color="000000" w:sz="6" w:space="0"/>
              <w:right w:val="single" w:color="000000" w:sz="6" w:space="0"/>
            </w:tcBorders>
            <w:vAlign w:val="center"/>
          </w:tcPr>
          <w:p w14:paraId="3A3BBA1A">
            <w:pPr>
              <w:ind w:left="9"/>
              <w:jc w:val="center"/>
              <w:rPr>
                <w:rFonts w:ascii="仿宋" w:hAnsi="仿宋" w:eastAsia="仿宋" w:cs="仿宋"/>
                <w:b/>
                <w:bCs/>
                <w:sz w:val="22"/>
                <w:szCs w:val="22"/>
              </w:rPr>
            </w:pPr>
            <w:r>
              <w:rPr>
                <w:rFonts w:hint="eastAsia" w:ascii="仿宋" w:hAnsi="仿宋" w:eastAsia="仿宋" w:cs="仿宋"/>
                <w:b/>
                <w:bCs/>
                <w:sz w:val="22"/>
                <w:szCs w:val="22"/>
              </w:rPr>
              <w:t>男子</w:t>
            </w:r>
          </w:p>
        </w:tc>
        <w:tc>
          <w:tcPr>
            <w:tcW w:w="2267" w:type="dxa"/>
            <w:tcBorders>
              <w:top w:val="single" w:color="000000" w:sz="6" w:space="0"/>
              <w:left w:val="single" w:color="000000" w:sz="6" w:space="0"/>
              <w:bottom w:val="single" w:color="000000" w:sz="6" w:space="0"/>
              <w:right w:val="single" w:color="000000" w:sz="6" w:space="0"/>
            </w:tcBorders>
            <w:vAlign w:val="center"/>
          </w:tcPr>
          <w:p w14:paraId="205F460C">
            <w:pPr>
              <w:ind w:left="9"/>
              <w:jc w:val="center"/>
              <w:rPr>
                <w:rFonts w:ascii="仿宋" w:hAnsi="仿宋" w:eastAsia="仿宋" w:cs="仿宋"/>
                <w:b/>
                <w:bCs/>
                <w:sz w:val="22"/>
                <w:szCs w:val="22"/>
              </w:rPr>
            </w:pPr>
            <w:r>
              <w:rPr>
                <w:rFonts w:hint="eastAsia" w:ascii="仿宋" w:hAnsi="仿宋" w:eastAsia="仿宋" w:cs="仿宋"/>
                <w:b/>
                <w:bCs/>
                <w:sz w:val="22"/>
                <w:szCs w:val="22"/>
              </w:rPr>
              <w:t>女子</w:t>
            </w:r>
          </w:p>
        </w:tc>
      </w:tr>
      <w:tr w14:paraId="483F6A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787" w:type="dxa"/>
            <w:tcBorders>
              <w:top w:val="single" w:color="000000" w:sz="6" w:space="0"/>
              <w:left w:val="single" w:color="000000" w:sz="6" w:space="0"/>
              <w:bottom w:val="single" w:color="000000" w:sz="6" w:space="0"/>
              <w:right w:val="single" w:color="000000" w:sz="6" w:space="0"/>
            </w:tcBorders>
            <w:vAlign w:val="center"/>
          </w:tcPr>
          <w:p w14:paraId="681EDFF0">
            <w:pPr>
              <w:ind w:left="9"/>
              <w:jc w:val="center"/>
              <w:rPr>
                <w:rFonts w:ascii="仿宋" w:hAnsi="仿宋" w:eastAsia="仿宋" w:cs="仿宋"/>
                <w:b/>
                <w:bCs/>
                <w:sz w:val="22"/>
                <w:szCs w:val="22"/>
              </w:rPr>
            </w:pPr>
            <w:r>
              <w:rPr>
                <w:rFonts w:ascii="仿宋" w:hAnsi="仿宋" w:eastAsia="仿宋" w:cs="仿宋"/>
                <w:sz w:val="22"/>
                <w:szCs w:val="22"/>
              </w:rPr>
              <w:t>A</w:t>
            </w:r>
          </w:p>
        </w:tc>
        <w:tc>
          <w:tcPr>
            <w:tcW w:w="2120" w:type="dxa"/>
            <w:tcBorders>
              <w:top w:val="single" w:color="000000" w:sz="6" w:space="0"/>
              <w:left w:val="single" w:color="000000" w:sz="6" w:space="0"/>
              <w:bottom w:val="single" w:color="000000" w:sz="6" w:space="0"/>
              <w:right w:val="single" w:color="000000" w:sz="6" w:space="0"/>
            </w:tcBorders>
            <w:vAlign w:val="center"/>
          </w:tcPr>
          <w:p w14:paraId="0381DF45">
            <w:pPr>
              <w:ind w:left="23"/>
              <w:jc w:val="center"/>
              <w:rPr>
                <w:rFonts w:ascii="仿宋" w:hAnsi="仿宋" w:eastAsia="仿宋" w:cs="仿宋"/>
                <w:b/>
                <w:bCs/>
                <w:sz w:val="22"/>
                <w:szCs w:val="22"/>
              </w:rPr>
            </w:pPr>
            <w:r>
              <w:rPr>
                <w:rFonts w:ascii="仿宋" w:hAnsi="仿宋" w:eastAsia="仿宋" w:cs="仿宋"/>
                <w:sz w:val="22"/>
                <w:szCs w:val="22"/>
              </w:rPr>
              <w:t>08.9.1-11.12.31</w:t>
            </w:r>
          </w:p>
        </w:tc>
        <w:tc>
          <w:tcPr>
            <w:tcW w:w="1066" w:type="dxa"/>
            <w:tcBorders>
              <w:top w:val="single" w:color="000000" w:sz="6" w:space="0"/>
              <w:left w:val="single" w:color="000000" w:sz="6" w:space="0"/>
              <w:bottom w:val="single" w:color="000000" w:sz="6" w:space="0"/>
              <w:right w:val="single" w:color="000000" w:sz="6" w:space="0"/>
            </w:tcBorders>
            <w:vAlign w:val="center"/>
          </w:tcPr>
          <w:p w14:paraId="285F0ED1">
            <w:pPr>
              <w:ind w:left="49"/>
              <w:jc w:val="center"/>
              <w:rPr>
                <w:rFonts w:ascii="仿宋" w:hAnsi="仿宋" w:eastAsia="仿宋" w:cs="仿宋"/>
                <w:b/>
                <w:bCs/>
                <w:sz w:val="22"/>
                <w:szCs w:val="22"/>
              </w:rPr>
            </w:pPr>
            <w:r>
              <w:rPr>
                <w:rFonts w:ascii="仿宋" w:hAnsi="仿宋" w:eastAsia="仿宋" w:cs="仿宋"/>
                <w:sz w:val="22"/>
                <w:szCs w:val="22"/>
              </w:rPr>
              <w:t>6</w:t>
            </w:r>
          </w:p>
        </w:tc>
        <w:tc>
          <w:tcPr>
            <w:tcW w:w="2200" w:type="dxa"/>
            <w:tcBorders>
              <w:top w:val="single" w:color="000000" w:sz="6" w:space="0"/>
              <w:left w:val="single" w:color="000000" w:sz="6" w:space="0"/>
              <w:bottom w:val="single" w:color="000000" w:sz="6" w:space="0"/>
              <w:right w:val="single" w:color="000000" w:sz="6" w:space="0"/>
            </w:tcBorders>
            <w:vAlign w:val="center"/>
          </w:tcPr>
          <w:p w14:paraId="61C83CF8">
            <w:pPr>
              <w:ind w:left="9"/>
              <w:jc w:val="center"/>
              <w:rPr>
                <w:rFonts w:ascii="仿宋" w:hAnsi="仿宋" w:eastAsia="仿宋" w:cs="仿宋"/>
                <w:b/>
                <w:bCs/>
                <w:sz w:val="22"/>
                <w:szCs w:val="22"/>
              </w:rPr>
            </w:pPr>
            <w:r>
              <w:rPr>
                <w:rFonts w:hint="eastAsia" w:ascii="仿宋" w:hAnsi="仿宋" w:eastAsia="仿宋" w:cs="仿宋"/>
                <w:spacing w:val="-2"/>
                <w:sz w:val="22"/>
                <w:szCs w:val="22"/>
              </w:rPr>
              <w:t>速度、难度、攀石</w:t>
            </w:r>
          </w:p>
        </w:tc>
        <w:tc>
          <w:tcPr>
            <w:tcW w:w="2267" w:type="dxa"/>
            <w:tcBorders>
              <w:top w:val="single" w:color="000000" w:sz="6" w:space="0"/>
              <w:left w:val="single" w:color="000000" w:sz="6" w:space="0"/>
              <w:bottom w:val="single" w:color="000000" w:sz="6" w:space="0"/>
              <w:right w:val="single" w:color="000000" w:sz="6" w:space="0"/>
            </w:tcBorders>
            <w:vAlign w:val="center"/>
          </w:tcPr>
          <w:p w14:paraId="59D7D627">
            <w:pPr>
              <w:ind w:left="9"/>
              <w:jc w:val="center"/>
              <w:rPr>
                <w:rFonts w:ascii="仿宋" w:hAnsi="仿宋" w:eastAsia="仿宋" w:cs="仿宋"/>
                <w:b/>
                <w:bCs/>
                <w:sz w:val="22"/>
                <w:szCs w:val="22"/>
              </w:rPr>
            </w:pPr>
            <w:r>
              <w:rPr>
                <w:rFonts w:hint="eastAsia" w:ascii="仿宋" w:hAnsi="仿宋" w:eastAsia="仿宋" w:cs="仿宋"/>
                <w:spacing w:val="-2"/>
                <w:sz w:val="22"/>
                <w:szCs w:val="22"/>
              </w:rPr>
              <w:t>速度、难度、攀石</w:t>
            </w:r>
          </w:p>
        </w:tc>
      </w:tr>
      <w:tr w14:paraId="700FC0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787" w:type="dxa"/>
            <w:tcBorders>
              <w:top w:val="single" w:color="000000" w:sz="6" w:space="0"/>
              <w:left w:val="single" w:color="000000" w:sz="6" w:space="0"/>
              <w:bottom w:val="single" w:color="auto" w:sz="4" w:space="0"/>
              <w:right w:val="single" w:color="000000" w:sz="6" w:space="0"/>
            </w:tcBorders>
            <w:vAlign w:val="center"/>
          </w:tcPr>
          <w:p w14:paraId="15A6DF29">
            <w:pPr>
              <w:ind w:left="9"/>
              <w:jc w:val="center"/>
              <w:rPr>
                <w:rFonts w:ascii="仿宋" w:hAnsi="仿宋" w:eastAsia="仿宋" w:cs="仿宋"/>
                <w:b/>
                <w:bCs/>
                <w:sz w:val="22"/>
                <w:szCs w:val="22"/>
              </w:rPr>
            </w:pPr>
            <w:r>
              <w:rPr>
                <w:rFonts w:ascii="仿宋" w:hAnsi="仿宋" w:eastAsia="仿宋" w:cs="仿宋"/>
                <w:sz w:val="22"/>
                <w:szCs w:val="22"/>
              </w:rPr>
              <w:t>B</w:t>
            </w:r>
          </w:p>
        </w:tc>
        <w:tc>
          <w:tcPr>
            <w:tcW w:w="2120" w:type="dxa"/>
            <w:tcBorders>
              <w:top w:val="single" w:color="000000" w:sz="6" w:space="0"/>
              <w:left w:val="single" w:color="000000" w:sz="6" w:space="0"/>
              <w:bottom w:val="single" w:color="auto" w:sz="4" w:space="0"/>
              <w:right w:val="single" w:color="000000" w:sz="6" w:space="0"/>
            </w:tcBorders>
            <w:vAlign w:val="center"/>
          </w:tcPr>
          <w:p w14:paraId="3DCBD96C">
            <w:pPr>
              <w:ind w:left="23"/>
              <w:jc w:val="center"/>
              <w:rPr>
                <w:rFonts w:ascii="仿宋" w:hAnsi="仿宋" w:eastAsia="仿宋" w:cs="仿宋"/>
                <w:b/>
                <w:bCs/>
                <w:sz w:val="22"/>
                <w:szCs w:val="22"/>
              </w:rPr>
            </w:pPr>
            <w:r>
              <w:rPr>
                <w:rFonts w:ascii="仿宋" w:hAnsi="仿宋" w:eastAsia="仿宋" w:cs="仿宋"/>
                <w:spacing w:val="-1"/>
                <w:sz w:val="22"/>
                <w:szCs w:val="22"/>
              </w:rPr>
              <w:t>12.1.1-14.12.31</w:t>
            </w:r>
          </w:p>
        </w:tc>
        <w:tc>
          <w:tcPr>
            <w:tcW w:w="1066" w:type="dxa"/>
            <w:tcBorders>
              <w:top w:val="single" w:color="000000" w:sz="6" w:space="0"/>
              <w:left w:val="single" w:color="000000" w:sz="6" w:space="0"/>
              <w:bottom w:val="single" w:color="auto" w:sz="4" w:space="0"/>
              <w:right w:val="single" w:color="000000" w:sz="6" w:space="0"/>
            </w:tcBorders>
            <w:vAlign w:val="center"/>
          </w:tcPr>
          <w:p w14:paraId="5060E08C">
            <w:pPr>
              <w:ind w:left="49"/>
              <w:jc w:val="center"/>
              <w:rPr>
                <w:rFonts w:ascii="仿宋" w:hAnsi="仿宋" w:eastAsia="仿宋" w:cs="仿宋"/>
                <w:b/>
                <w:bCs/>
                <w:sz w:val="22"/>
                <w:szCs w:val="22"/>
              </w:rPr>
            </w:pPr>
            <w:r>
              <w:rPr>
                <w:rFonts w:ascii="仿宋" w:hAnsi="仿宋" w:eastAsia="仿宋" w:cs="仿宋"/>
                <w:sz w:val="22"/>
                <w:szCs w:val="22"/>
              </w:rPr>
              <w:t>6</w:t>
            </w:r>
          </w:p>
        </w:tc>
        <w:tc>
          <w:tcPr>
            <w:tcW w:w="2200" w:type="dxa"/>
            <w:tcBorders>
              <w:top w:val="single" w:color="000000" w:sz="6" w:space="0"/>
              <w:left w:val="single" w:color="000000" w:sz="6" w:space="0"/>
              <w:bottom w:val="single" w:color="auto" w:sz="4" w:space="0"/>
              <w:right w:val="single" w:color="000000" w:sz="6" w:space="0"/>
            </w:tcBorders>
            <w:vAlign w:val="center"/>
          </w:tcPr>
          <w:p w14:paraId="2F932C4F">
            <w:pPr>
              <w:ind w:left="9"/>
              <w:jc w:val="center"/>
              <w:rPr>
                <w:rFonts w:ascii="仿宋" w:hAnsi="仿宋" w:eastAsia="仿宋" w:cs="仿宋"/>
                <w:b/>
                <w:bCs/>
                <w:sz w:val="22"/>
                <w:szCs w:val="22"/>
              </w:rPr>
            </w:pPr>
            <w:r>
              <w:rPr>
                <w:rFonts w:hint="eastAsia" w:ascii="仿宋" w:hAnsi="仿宋" w:eastAsia="仿宋" w:cs="仿宋"/>
                <w:spacing w:val="-2"/>
                <w:sz w:val="22"/>
                <w:szCs w:val="22"/>
              </w:rPr>
              <w:t>速度、难度、攀石</w:t>
            </w:r>
          </w:p>
        </w:tc>
        <w:tc>
          <w:tcPr>
            <w:tcW w:w="2267" w:type="dxa"/>
            <w:tcBorders>
              <w:top w:val="single" w:color="000000" w:sz="6" w:space="0"/>
              <w:left w:val="single" w:color="000000" w:sz="6" w:space="0"/>
              <w:bottom w:val="single" w:color="auto" w:sz="4" w:space="0"/>
              <w:right w:val="single" w:color="000000" w:sz="6" w:space="0"/>
            </w:tcBorders>
            <w:vAlign w:val="center"/>
          </w:tcPr>
          <w:p w14:paraId="3C17972F">
            <w:pPr>
              <w:ind w:left="9"/>
              <w:jc w:val="center"/>
              <w:rPr>
                <w:rFonts w:ascii="仿宋" w:hAnsi="仿宋" w:eastAsia="仿宋" w:cs="仿宋"/>
                <w:b/>
                <w:bCs/>
                <w:sz w:val="22"/>
                <w:szCs w:val="22"/>
              </w:rPr>
            </w:pPr>
            <w:r>
              <w:rPr>
                <w:rFonts w:hint="eastAsia" w:ascii="仿宋" w:hAnsi="仿宋" w:eastAsia="仿宋" w:cs="仿宋"/>
                <w:spacing w:val="-2"/>
                <w:sz w:val="22"/>
                <w:szCs w:val="22"/>
              </w:rPr>
              <w:t>速度、难度、攀石</w:t>
            </w:r>
          </w:p>
        </w:tc>
      </w:tr>
      <w:tr w14:paraId="7793D2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787" w:type="dxa"/>
            <w:tcBorders>
              <w:top w:val="single" w:color="auto" w:sz="4" w:space="0"/>
              <w:left w:val="single" w:color="auto" w:sz="4" w:space="0"/>
              <w:bottom w:val="single" w:color="auto" w:sz="4" w:space="0"/>
              <w:right w:val="single" w:color="auto" w:sz="4" w:space="0"/>
            </w:tcBorders>
            <w:vAlign w:val="center"/>
          </w:tcPr>
          <w:p w14:paraId="3F314812">
            <w:pPr>
              <w:ind w:left="9"/>
              <w:jc w:val="center"/>
              <w:rPr>
                <w:rFonts w:ascii="仿宋" w:hAnsi="仿宋" w:eastAsia="仿宋" w:cs="仿宋"/>
                <w:b/>
                <w:bCs/>
                <w:sz w:val="22"/>
                <w:szCs w:val="22"/>
              </w:rPr>
            </w:pPr>
            <w:r>
              <w:rPr>
                <w:rFonts w:ascii="仿宋" w:hAnsi="仿宋" w:eastAsia="仿宋" w:cs="仿宋"/>
                <w:sz w:val="22"/>
                <w:szCs w:val="22"/>
              </w:rPr>
              <w:t>C</w:t>
            </w:r>
          </w:p>
        </w:tc>
        <w:tc>
          <w:tcPr>
            <w:tcW w:w="2120" w:type="dxa"/>
            <w:tcBorders>
              <w:top w:val="single" w:color="auto" w:sz="4" w:space="0"/>
              <w:left w:val="single" w:color="auto" w:sz="4" w:space="0"/>
              <w:bottom w:val="single" w:color="auto" w:sz="4" w:space="0"/>
              <w:right w:val="single" w:color="auto" w:sz="4" w:space="0"/>
            </w:tcBorders>
            <w:vAlign w:val="center"/>
          </w:tcPr>
          <w:p w14:paraId="60A6C17D">
            <w:pPr>
              <w:ind w:left="23"/>
              <w:jc w:val="center"/>
              <w:rPr>
                <w:rFonts w:ascii="仿宋" w:hAnsi="仿宋" w:eastAsia="仿宋" w:cs="仿宋"/>
                <w:b/>
                <w:bCs/>
                <w:sz w:val="22"/>
                <w:szCs w:val="22"/>
              </w:rPr>
            </w:pPr>
            <w:r>
              <w:rPr>
                <w:rFonts w:ascii="仿宋" w:hAnsi="仿宋" w:eastAsia="仿宋" w:cs="仿宋"/>
                <w:spacing w:val="-1"/>
                <w:sz w:val="22"/>
                <w:szCs w:val="22"/>
              </w:rPr>
              <w:t>15.1.1-17.12.31</w:t>
            </w:r>
          </w:p>
        </w:tc>
        <w:tc>
          <w:tcPr>
            <w:tcW w:w="1066" w:type="dxa"/>
            <w:tcBorders>
              <w:top w:val="single" w:color="auto" w:sz="4" w:space="0"/>
              <w:left w:val="single" w:color="auto" w:sz="4" w:space="0"/>
              <w:bottom w:val="single" w:color="auto" w:sz="4" w:space="0"/>
              <w:right w:val="single" w:color="auto" w:sz="4" w:space="0"/>
            </w:tcBorders>
            <w:vAlign w:val="center"/>
          </w:tcPr>
          <w:p w14:paraId="7859C846">
            <w:pPr>
              <w:ind w:left="49"/>
              <w:jc w:val="center"/>
              <w:rPr>
                <w:rFonts w:ascii="仿宋" w:hAnsi="仿宋" w:eastAsia="仿宋" w:cs="仿宋"/>
                <w:b/>
                <w:bCs/>
                <w:sz w:val="22"/>
                <w:szCs w:val="22"/>
              </w:rPr>
            </w:pPr>
            <w:r>
              <w:rPr>
                <w:rFonts w:ascii="仿宋" w:hAnsi="仿宋" w:eastAsia="仿宋" w:cs="仿宋"/>
                <w:sz w:val="22"/>
                <w:szCs w:val="22"/>
              </w:rPr>
              <w:t>4</w:t>
            </w:r>
          </w:p>
        </w:tc>
        <w:tc>
          <w:tcPr>
            <w:tcW w:w="2200" w:type="dxa"/>
            <w:tcBorders>
              <w:top w:val="single" w:color="auto" w:sz="4" w:space="0"/>
              <w:left w:val="single" w:color="auto" w:sz="4" w:space="0"/>
              <w:bottom w:val="single" w:color="auto" w:sz="4" w:space="0"/>
              <w:right w:val="single" w:color="auto" w:sz="4" w:space="0"/>
            </w:tcBorders>
            <w:vAlign w:val="center"/>
          </w:tcPr>
          <w:p w14:paraId="27652CE7">
            <w:pPr>
              <w:ind w:left="9"/>
              <w:jc w:val="center"/>
              <w:rPr>
                <w:rFonts w:ascii="仿宋" w:hAnsi="仿宋" w:eastAsia="仿宋" w:cs="仿宋"/>
                <w:b/>
                <w:bCs/>
                <w:sz w:val="22"/>
                <w:szCs w:val="22"/>
              </w:rPr>
            </w:pPr>
            <w:r>
              <w:rPr>
                <w:rFonts w:hint="eastAsia" w:ascii="仿宋" w:hAnsi="仿宋" w:eastAsia="仿宋" w:cs="仿宋"/>
                <w:spacing w:val="-2"/>
                <w:sz w:val="22"/>
                <w:szCs w:val="22"/>
              </w:rPr>
              <w:t>速度、难度</w:t>
            </w:r>
          </w:p>
        </w:tc>
        <w:tc>
          <w:tcPr>
            <w:tcW w:w="2267" w:type="dxa"/>
            <w:tcBorders>
              <w:top w:val="single" w:color="auto" w:sz="4" w:space="0"/>
              <w:left w:val="single" w:color="auto" w:sz="4" w:space="0"/>
              <w:bottom w:val="single" w:color="auto" w:sz="4" w:space="0"/>
              <w:right w:val="single" w:color="auto" w:sz="4" w:space="0"/>
            </w:tcBorders>
            <w:vAlign w:val="center"/>
          </w:tcPr>
          <w:p w14:paraId="6F785CFA">
            <w:pPr>
              <w:ind w:left="9"/>
              <w:jc w:val="center"/>
              <w:rPr>
                <w:rFonts w:ascii="仿宋" w:hAnsi="仿宋" w:eastAsia="仿宋" w:cs="仿宋"/>
                <w:b/>
                <w:bCs/>
                <w:sz w:val="22"/>
                <w:szCs w:val="22"/>
              </w:rPr>
            </w:pPr>
            <w:r>
              <w:rPr>
                <w:rFonts w:hint="eastAsia" w:ascii="仿宋" w:hAnsi="仿宋" w:eastAsia="仿宋" w:cs="仿宋"/>
                <w:spacing w:val="-2"/>
                <w:sz w:val="22"/>
                <w:szCs w:val="22"/>
              </w:rPr>
              <w:t>速度、难度</w:t>
            </w:r>
          </w:p>
        </w:tc>
      </w:tr>
    </w:tbl>
    <w:p w14:paraId="650D439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八、参赛资格</w:t>
      </w:r>
    </w:p>
    <w:p w14:paraId="48E69F31">
      <w:pPr>
        <w:spacing w:line="540" w:lineRule="exact"/>
        <w:ind w:firstLine="560" w:firstLineChars="200"/>
        <w:rPr>
          <w:rFonts w:ascii="仿宋" w:hAnsi="仿宋" w:eastAsia="仿宋" w:cs="仿宋"/>
          <w:color w:val="0000FF"/>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5276028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144AD154">
      <w:pPr>
        <w:spacing w:line="540" w:lineRule="exact"/>
        <w:ind w:firstLine="560" w:firstLineChars="200"/>
        <w:rPr>
          <w:rFonts w:ascii="仿宋" w:hAnsi="仿宋" w:eastAsia="仿宋" w:cs="仿宋"/>
          <w:sz w:val="28"/>
          <w:szCs w:val="28"/>
        </w:rPr>
      </w:pPr>
      <w:bookmarkStart w:id="0" w:name="_Hlk94972236"/>
      <w:r>
        <w:rPr>
          <w:rFonts w:hint="eastAsia" w:ascii="仿宋" w:hAnsi="仿宋" w:eastAsia="仿宋" w:cs="仿宋"/>
          <w:sz w:val="28"/>
          <w:szCs w:val="28"/>
        </w:rPr>
        <w:t>（三）参赛运动员必须是202</w:t>
      </w:r>
      <w:r>
        <w:rPr>
          <w:rFonts w:ascii="仿宋" w:hAnsi="仿宋" w:eastAsia="仿宋" w:cs="仿宋"/>
          <w:sz w:val="28"/>
          <w:szCs w:val="28"/>
        </w:rPr>
        <w:t>6</w:t>
      </w:r>
      <w:r>
        <w:rPr>
          <w:rFonts w:hint="eastAsia" w:ascii="仿宋" w:hAnsi="仿宋" w:eastAsia="仿宋" w:cs="仿宋"/>
          <w:sz w:val="28"/>
          <w:szCs w:val="28"/>
        </w:rPr>
        <w:t>年在本市有效注册的青少年运动员，并持本人当年有效的《上海市青少年运动员注册卡》参赛。</w:t>
      </w:r>
      <w:bookmarkEnd w:id="0"/>
    </w:p>
    <w:p w14:paraId="154D3B6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（四）B、C组参赛运动员须参加202</w:t>
      </w:r>
      <w:r>
        <w:rPr>
          <w:rFonts w:ascii="仿宋" w:hAnsi="仿宋" w:eastAsia="仿宋" w:cs="仿宋"/>
          <w:sz w:val="28"/>
          <w:szCs w:val="28"/>
        </w:rPr>
        <w:t>6</w:t>
      </w:r>
      <w:r>
        <w:rPr>
          <w:rFonts w:hint="eastAsia" w:ascii="仿宋" w:hAnsi="仿宋" w:eastAsia="仿宋" w:cs="仿宋"/>
          <w:sz w:val="28"/>
          <w:szCs w:val="28"/>
        </w:rPr>
        <w:t>年上海市攀岩体能测试赛并取得</w:t>
      </w:r>
      <w:r>
        <w:rPr>
          <w:rFonts w:ascii="仿宋" w:hAnsi="仿宋" w:eastAsia="仿宋" w:cs="仿宋"/>
          <w:sz w:val="28"/>
          <w:szCs w:val="28"/>
        </w:rPr>
        <w:t>60</w:t>
      </w:r>
      <w:r>
        <w:rPr>
          <w:rFonts w:hint="eastAsia" w:ascii="仿宋" w:hAnsi="仿宋" w:eastAsia="仿宋" w:cs="仿宋"/>
          <w:sz w:val="28"/>
          <w:szCs w:val="28"/>
        </w:rPr>
        <w:t>分及以上成绩可报名参赛。A组运动员参赛无限制。</w:t>
      </w:r>
    </w:p>
    <w:p w14:paraId="4EED185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78CAA7D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11963A87">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（七）本市市属青少年高水平运动队在编运动员代表注册单位参赛。</w:t>
      </w:r>
    </w:p>
    <w:p w14:paraId="4B5008E9">
      <w:pPr>
        <w:numPr>
          <w:ilvl w:val="255"/>
          <w:numId w:val="0"/>
        </w:numPr>
        <w:spacing w:line="540" w:lineRule="exact"/>
        <w:ind w:firstLine="544" w:firstLineChars="200"/>
        <w:rPr>
          <w:rFonts w:ascii="仿宋" w:hAnsi="仿宋" w:eastAsia="仿宋" w:cs="仿宋"/>
          <w:sz w:val="28"/>
          <w:szCs w:val="28"/>
        </w:rPr>
      </w:pPr>
      <w:r>
        <w:rPr>
          <w:rFonts w:hint="eastAsia" w:ascii="仿宋" w:hAnsi="仿宋" w:eastAsia="仿宋" w:cs="仿宋"/>
          <w:spacing w:val="-4"/>
          <w:sz w:val="28"/>
          <w:szCs w:val="28"/>
        </w:rPr>
        <w:t>（八）</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7865D6C9">
      <w:pPr>
        <w:numPr>
          <w:ilvl w:val="255"/>
          <w:numId w:val="0"/>
        </w:numPr>
        <w:spacing w:line="540" w:lineRule="exact"/>
        <w:ind w:firstLine="560" w:firstLineChars="200"/>
        <w:rPr>
          <w:rFonts w:ascii="仿宋" w:hAnsi="仿宋" w:eastAsia="仿宋" w:cs="仿宋"/>
          <w:spacing w:val="-4"/>
          <w:sz w:val="28"/>
          <w:szCs w:val="28"/>
        </w:rPr>
      </w:pPr>
      <w:r>
        <w:rPr>
          <w:rFonts w:hint="eastAsia" w:ascii="仿宋" w:hAnsi="仿宋" w:eastAsia="仿宋" w:cs="仿宋"/>
          <w:sz w:val="28"/>
          <w:szCs w:val="28"/>
        </w:rPr>
        <w:t>（九）举重、摔跤两个项目作为主项不得和本项目以外的其他任何项目兼项参赛，其他项目作为主项可以兼项举重、摔跤参赛。</w:t>
      </w:r>
    </w:p>
    <w:p w14:paraId="6A273CE8">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九、参加办法（参赛办法、报名办法）</w:t>
      </w:r>
    </w:p>
    <w:p w14:paraId="485E46C6">
      <w:pPr>
        <w:overflowPunct w:val="0"/>
        <w:topLinePunct/>
        <w:spacing w:line="540" w:lineRule="exact"/>
        <w:ind w:left="105" w:leftChars="50" w:firstLine="560" w:firstLineChars="200"/>
        <w:rPr>
          <w:rFonts w:ascii="仿宋" w:hAnsi="仿宋" w:eastAsia="仿宋" w:cs="仿宋"/>
          <w:sz w:val="28"/>
          <w:szCs w:val="28"/>
        </w:rPr>
      </w:pPr>
      <w:r>
        <w:rPr>
          <w:rFonts w:hint="eastAsia" w:ascii="仿宋" w:hAnsi="仿宋" w:eastAsia="仿宋" w:cs="仿宋"/>
          <w:sz w:val="28"/>
          <w:szCs w:val="28"/>
        </w:rPr>
        <w:t>（一）报名人数：各代表团可报领队1人，教练员1</w:t>
      </w:r>
      <w:r>
        <w:rPr>
          <w:rFonts w:ascii="仿宋" w:hAnsi="仿宋" w:eastAsia="仿宋" w:cs="仿宋"/>
          <w:sz w:val="28"/>
          <w:szCs w:val="28"/>
        </w:rPr>
        <w:t>-</w:t>
      </w:r>
      <w:r>
        <w:rPr>
          <w:rFonts w:hint="eastAsia" w:ascii="仿宋" w:hAnsi="仿宋" w:eastAsia="仿宋" w:cs="仿宋"/>
          <w:sz w:val="28"/>
          <w:szCs w:val="28"/>
        </w:rPr>
        <w:t>4人，教练员必须是2026年在本市有效注册的青训教练员。运动员男女各组别各小项分别限报6名。</w:t>
      </w:r>
      <w:r>
        <w:rPr>
          <w:rFonts w:ascii="仿宋" w:hAnsi="仿宋" w:eastAsia="仿宋" w:cs="仿宋"/>
          <w:sz w:val="28"/>
          <w:szCs w:val="28"/>
        </w:rPr>
        <w:t xml:space="preserve"> </w:t>
      </w:r>
    </w:p>
    <w:p w14:paraId="22F161A8">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（二）交流运动员报名人数不超过该组别实际报名人数30%（按四舍五入计）。</w:t>
      </w:r>
    </w:p>
    <w:p w14:paraId="213C36A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参赛单位通过大会指定的网站www.aijingsai.cn（上海青少年体育赛事网）进行网上报名，并在规定时间内将导出打印的报名表加盖公章后，一式两份报大会组委会竞赛部（地址：徐汇区零陵路800号8楼，竞赛部，31211118）。</w:t>
      </w:r>
    </w:p>
    <w:p w14:paraId="1A39AD3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（四）代表团必须为参赛运动员购买攀岩专项保险，并携带保单原件或复印件在报到时查验。</w:t>
      </w:r>
    </w:p>
    <w:p w14:paraId="31B6A34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十、竞赛办法</w:t>
      </w:r>
    </w:p>
    <w:p w14:paraId="63C3668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（一）参照最新版世界攀岩联合会《竞赛规则》和《竞赛条例》。</w:t>
      </w:r>
    </w:p>
    <w:p w14:paraId="46A25FD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（二）本次比赛技术代表、裁判长、主定线员由中国登山协会选派。</w:t>
      </w:r>
    </w:p>
    <w:p w14:paraId="5E428EEB">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（三）本次比赛不设种子，以随机方式进行抽签编排。</w:t>
      </w:r>
    </w:p>
    <w:p w14:paraId="3A71BDD7">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（四）赛制：</w:t>
      </w:r>
      <w:r>
        <w:rPr>
          <w:rFonts w:hint="eastAsia" w:ascii="仿宋" w:hAnsi="仿宋" w:eastAsia="仿宋" w:cs="仿宋_GB2312"/>
          <w:sz w:val="28"/>
          <w:szCs w:val="28"/>
        </w:rPr>
        <w:t>设预赛与决赛。</w:t>
      </w:r>
    </w:p>
    <w:p w14:paraId="388CAD3C">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（五）竞赛规则</w:t>
      </w:r>
    </w:p>
    <w:p w14:paraId="7EEF245C">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1.速度</w:t>
      </w:r>
    </w:p>
    <w:p w14:paraId="3752E1D2">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设预赛、决赛，预赛中有效成绩记录的运动员人数：</w:t>
      </w:r>
    </w:p>
    <w:p w14:paraId="01AE0DA2">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（1）≥16人，取 16 人进入决赛；</w:t>
      </w:r>
    </w:p>
    <w:p w14:paraId="0D4DB940">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（2）8-15人，取 8 人进入决赛；</w:t>
      </w:r>
    </w:p>
    <w:p w14:paraId="79C884F8">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（3）4-7人，取 4 人进入决赛，</w:t>
      </w:r>
    </w:p>
    <w:p w14:paraId="1CA2222F">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其余运动员根据预赛最好成绩进行排名计入最终名次。</w:t>
      </w:r>
    </w:p>
    <w:p w14:paraId="1306389F">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A组采用国际标准速度赛道，B组采用青少年标准速度赛道</w:t>
      </w:r>
      <w:r>
        <w:rPr>
          <w:rFonts w:hint="eastAsia" w:ascii="仿宋" w:hAnsi="仿宋" w:eastAsia="仿宋" w:cs="仿宋"/>
          <w:sz w:val="28"/>
          <w:szCs w:val="28"/>
          <w:lang w:eastAsia="zh-CN"/>
        </w:rPr>
        <w:t>（增加脚点的国际标准速度道）</w:t>
      </w:r>
      <w:r>
        <w:rPr>
          <w:rFonts w:hint="eastAsia" w:ascii="仿宋" w:hAnsi="仿宋" w:eastAsia="仿宋" w:cs="仿宋"/>
          <w:sz w:val="28"/>
          <w:szCs w:val="28"/>
        </w:rPr>
        <w:t>，C组采用随机速度赛道。</w:t>
      </w:r>
    </w:p>
    <w:p w14:paraId="70B6F38A">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2.难度</w:t>
      </w:r>
    </w:p>
    <w:p w14:paraId="35A9F5C9">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设预赛与决赛，按预赛排名取前8名运动员进入决赛。若参赛人数小于或等于8人，则直接进行决赛，按照预赛模式进行比赛并录取名次。</w:t>
      </w:r>
    </w:p>
    <w:p w14:paraId="5446F536">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预赛采用顶绳模式，两条线路；决赛采用先锋攀登，各组别一条线路。</w:t>
      </w:r>
    </w:p>
    <w:p w14:paraId="413A069D">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决赛轮成绩并列排名办法：如果运动员在决赛轮成绩排名出现并列，则追溯其在预赛轮的成绩排名；若追溯后在前三名的位置仍存在并列，则比较决赛轮攀爬时间进行区分，用时少者排名列前。</w:t>
      </w:r>
    </w:p>
    <w:p w14:paraId="6A1C8163">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3.攀石</w:t>
      </w:r>
    </w:p>
    <w:p w14:paraId="629C9053">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设预赛与决赛，由分值计算排名，TOP为25分，Zone点为10分，运动员每多进行一次尝试，扣0.1分。</w:t>
      </w:r>
    </w:p>
    <w:p w14:paraId="2B59A66E">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预赛5条线路，决赛4条线路，对应最高分值：</w:t>
      </w:r>
      <w:r>
        <w:rPr>
          <w:rFonts w:hint="eastAsia" w:ascii="仿宋" w:hAnsi="仿宋" w:eastAsia="仿宋" w:cs="仿宋"/>
          <w:sz w:val="28"/>
          <w:szCs w:val="28"/>
          <w:lang w:val="en-US" w:eastAsia="zh-CN"/>
        </w:rPr>
        <w:t>125</w:t>
      </w:r>
      <w:r>
        <w:rPr>
          <w:rFonts w:hint="eastAsia" w:ascii="仿宋" w:hAnsi="仿宋" w:eastAsia="仿宋" w:cs="仿宋"/>
          <w:sz w:val="28"/>
          <w:szCs w:val="28"/>
        </w:rPr>
        <w:t>，100。</w:t>
      </w:r>
    </w:p>
    <w:p w14:paraId="2952A17B">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预赛轮：参赛人数大于8人，取预赛前8名进入决赛，如预赛前8名出现并列则全部进入决赛；若参赛人数小于或等于8人则直接进行决赛，按照预赛模式进行比赛并录取名次。</w:t>
      </w:r>
    </w:p>
    <w:p w14:paraId="675676B6">
      <w:pPr>
        <w:adjustRightInd w:val="0"/>
        <w:snapToGrid w:val="0"/>
        <w:spacing w:line="540" w:lineRule="exact"/>
        <w:ind w:firstLine="564"/>
        <w:rPr>
          <w:rFonts w:hint="eastAsia" w:ascii="仿宋" w:hAnsi="仿宋" w:eastAsia="仿宋" w:cs="仿宋"/>
          <w:sz w:val="28"/>
          <w:szCs w:val="28"/>
        </w:rPr>
      </w:pPr>
      <w:r>
        <w:rPr>
          <w:rFonts w:hint="eastAsia" w:ascii="仿宋" w:hAnsi="仿宋" w:eastAsia="仿宋" w:cs="仿宋"/>
          <w:sz w:val="28"/>
          <w:szCs w:val="28"/>
        </w:rPr>
        <w:t>决赛轮成绩并列排名办法：如果运动员在决赛轮总分相同时，依次按以下方法区分并列：</w:t>
      </w:r>
    </w:p>
    <w:p w14:paraId="569A7D41">
      <w:pPr>
        <w:adjustRightInd w:val="0"/>
        <w:snapToGrid w:val="0"/>
        <w:spacing w:line="540" w:lineRule="exact"/>
        <w:ind w:firstLine="564"/>
        <w:rPr>
          <w:rFonts w:hint="eastAsia" w:ascii="仿宋" w:hAnsi="仿宋" w:eastAsia="仿宋" w:cs="仿宋"/>
          <w:sz w:val="28"/>
          <w:szCs w:val="28"/>
        </w:rPr>
      </w:pPr>
      <w:r>
        <w:rPr>
          <w:rFonts w:hint="eastAsia" w:ascii="仿宋" w:hAnsi="仿宋" w:eastAsia="仿宋" w:cs="仿宋"/>
          <w:sz w:val="28"/>
          <w:szCs w:val="28"/>
        </w:rPr>
        <w:t>A）追溯其在预赛轮的成绩排名；</w:t>
      </w:r>
    </w:p>
    <w:p w14:paraId="1441B476">
      <w:pPr>
        <w:adjustRightInd w:val="0"/>
        <w:snapToGrid w:val="0"/>
        <w:spacing w:line="540" w:lineRule="exact"/>
        <w:ind w:firstLine="564"/>
        <w:rPr>
          <w:rFonts w:hint="eastAsia" w:ascii="仿宋" w:hAnsi="仿宋" w:eastAsia="仿宋" w:cs="仿宋"/>
          <w:sz w:val="28"/>
          <w:szCs w:val="28"/>
        </w:rPr>
      </w:pPr>
      <w:r>
        <w:rPr>
          <w:rFonts w:hint="eastAsia" w:ascii="仿宋" w:hAnsi="仿宋" w:eastAsia="仿宋" w:cs="仿宋"/>
          <w:sz w:val="28"/>
          <w:szCs w:val="28"/>
        </w:rPr>
        <w:t>B）决赛轮完攀（Top）线路的总尝试次数，所用次数少者排名靠前；</w:t>
      </w:r>
    </w:p>
    <w:p w14:paraId="5958064E">
      <w:pPr>
        <w:adjustRightInd w:val="0"/>
        <w:snapToGrid w:val="0"/>
        <w:spacing w:line="540" w:lineRule="exact"/>
        <w:ind w:firstLine="564"/>
        <w:rPr>
          <w:rFonts w:hint="eastAsia" w:ascii="仿宋" w:hAnsi="仿宋" w:eastAsia="仿宋" w:cs="仿宋"/>
          <w:sz w:val="28"/>
          <w:szCs w:val="28"/>
        </w:rPr>
      </w:pPr>
      <w:r>
        <w:rPr>
          <w:rFonts w:hint="eastAsia" w:ascii="仿宋" w:hAnsi="仿宋" w:eastAsia="仿宋" w:cs="仿宋"/>
          <w:sz w:val="28"/>
          <w:szCs w:val="28"/>
        </w:rPr>
        <w:t>C）决赛轮获得得分点（Zone）的总尝试次数，所用次数少者排名靠前。</w:t>
      </w:r>
    </w:p>
    <w:p w14:paraId="59395A09">
      <w:pPr>
        <w:adjustRightInd w:val="0"/>
        <w:snapToGrid w:val="0"/>
        <w:spacing w:line="540" w:lineRule="exact"/>
        <w:ind w:firstLine="564"/>
        <w:rPr>
          <w:rFonts w:hint="eastAsia" w:ascii="仿宋" w:hAnsi="仿宋" w:eastAsia="仿宋" w:cs="仿宋"/>
          <w:sz w:val="28"/>
          <w:szCs w:val="28"/>
        </w:rPr>
      </w:pPr>
      <w:r>
        <w:rPr>
          <w:rFonts w:hint="eastAsia" w:ascii="仿宋" w:hAnsi="仿宋" w:eastAsia="仿宋" w:cs="仿宋"/>
          <w:sz w:val="28"/>
          <w:szCs w:val="28"/>
        </w:rPr>
        <w:t>如按以上办法排名仍为并列，则最终名次为并列。</w:t>
      </w:r>
    </w:p>
    <w:p w14:paraId="11BFF995">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（六）比赛装备</w:t>
      </w:r>
    </w:p>
    <w:p w14:paraId="3D22B349">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1.比赛场地、岩壁、公共技术装备由赛事承办单位提供，安全带、攀岩鞋、镁粉等个人装备自备。</w:t>
      </w:r>
    </w:p>
    <w:p w14:paraId="74E29D38">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2.各代表团需有统一的比赛服和背标、肩标。</w:t>
      </w:r>
    </w:p>
    <w:p w14:paraId="4B0032F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（七）弃权规定</w:t>
      </w:r>
    </w:p>
    <w:p w14:paraId="2EA0EFAD">
      <w:pPr>
        <w:snapToGrid w:val="0"/>
        <w:spacing w:line="5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报名后无故弃赛的，取消本人全部成绩。因故不能参赛的，需提前提供运动员所在区体育行政部门出具的相关证明。</w:t>
      </w:r>
    </w:p>
    <w:p w14:paraId="2AAEFAA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（八）各竞赛小项参赛人数少于2个参赛单位3人，均不安排比赛。</w:t>
      </w:r>
    </w:p>
    <w:p w14:paraId="15D2C012">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十一、录取名次、计牌计分和奖励办法</w:t>
      </w:r>
    </w:p>
    <w:p w14:paraId="511F3F7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（一）各组别</w:t>
      </w:r>
      <w:r>
        <w:rPr>
          <w:rFonts w:hint="eastAsia" w:ascii="仿宋" w:hAnsi="仿宋" w:eastAsia="仿宋" w:cs="仿宋"/>
          <w:bCs/>
          <w:sz w:val="28"/>
          <w:szCs w:val="28"/>
        </w:rPr>
        <w:t>录取前</w:t>
      </w:r>
      <w:r>
        <w:rPr>
          <w:rFonts w:ascii="仿宋" w:hAnsi="仿宋" w:eastAsia="仿宋" w:cs="仿宋"/>
          <w:bCs/>
          <w:sz w:val="28"/>
          <w:szCs w:val="28"/>
        </w:rPr>
        <w:t>8</w:t>
      </w:r>
      <w:r>
        <w:rPr>
          <w:rFonts w:hint="eastAsia" w:ascii="仿宋" w:hAnsi="仿宋" w:eastAsia="仿宋" w:cs="仿宋"/>
          <w:bCs/>
          <w:sz w:val="28"/>
          <w:szCs w:val="28"/>
        </w:rPr>
        <w:t>名，不足</w:t>
      </w:r>
      <w:r>
        <w:rPr>
          <w:rFonts w:ascii="仿宋" w:hAnsi="仿宋" w:eastAsia="仿宋" w:cs="仿宋"/>
          <w:bCs/>
          <w:sz w:val="28"/>
          <w:szCs w:val="28"/>
        </w:rPr>
        <w:t>8</w:t>
      </w:r>
      <w:r>
        <w:rPr>
          <w:rFonts w:hint="eastAsia" w:ascii="仿宋" w:hAnsi="仿宋" w:eastAsia="仿宋" w:cs="仿宋"/>
          <w:bCs/>
          <w:sz w:val="28"/>
          <w:szCs w:val="28"/>
        </w:rPr>
        <w:t>人参赛的，则按实际参赛人数录取名次。</w:t>
      </w:r>
    </w:p>
    <w:p w14:paraId="0979AB5F">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sz w:val="28"/>
          <w:szCs w:val="28"/>
        </w:rPr>
        <w:t>（二）B组各小项</w:t>
      </w:r>
      <w:r>
        <w:rPr>
          <w:rFonts w:hint="eastAsia" w:ascii="仿宋" w:hAnsi="仿宋" w:eastAsia="仿宋" w:cs="仿宋"/>
          <w:bCs/>
          <w:sz w:val="28"/>
          <w:szCs w:val="28"/>
        </w:rPr>
        <w:t>前3名依次按1金、1银、1铜计牌，A、C组</w:t>
      </w:r>
      <w:r>
        <w:rPr>
          <w:rFonts w:hint="eastAsia" w:ascii="仿宋" w:hAnsi="仿宋" w:eastAsia="仿宋" w:cs="仿宋"/>
          <w:sz w:val="28"/>
          <w:szCs w:val="28"/>
        </w:rPr>
        <w:t>各小项</w:t>
      </w:r>
      <w:r>
        <w:rPr>
          <w:rFonts w:hint="eastAsia" w:ascii="仿宋" w:hAnsi="仿宋" w:eastAsia="仿宋" w:cs="仿宋"/>
          <w:bCs/>
          <w:sz w:val="28"/>
          <w:szCs w:val="28"/>
        </w:rPr>
        <w:t>前3名依次按</w:t>
      </w:r>
      <w:r>
        <w:rPr>
          <w:rFonts w:ascii="仿宋" w:hAnsi="仿宋" w:eastAsia="仿宋" w:cs="仿宋"/>
          <w:bCs/>
          <w:sz w:val="28"/>
          <w:szCs w:val="28"/>
        </w:rPr>
        <w:t>0.5</w:t>
      </w:r>
      <w:r>
        <w:rPr>
          <w:rFonts w:hint="eastAsia" w:ascii="仿宋" w:hAnsi="仿宋" w:eastAsia="仿宋" w:cs="仿宋"/>
          <w:bCs/>
          <w:sz w:val="28"/>
          <w:szCs w:val="28"/>
        </w:rPr>
        <w:t>金、0</w:t>
      </w:r>
      <w:r>
        <w:rPr>
          <w:rFonts w:ascii="仿宋" w:hAnsi="仿宋" w:eastAsia="仿宋" w:cs="仿宋"/>
          <w:bCs/>
          <w:sz w:val="28"/>
          <w:szCs w:val="28"/>
        </w:rPr>
        <w:t>.5</w:t>
      </w:r>
      <w:r>
        <w:rPr>
          <w:rFonts w:hint="eastAsia" w:ascii="仿宋" w:hAnsi="仿宋" w:eastAsia="仿宋" w:cs="仿宋"/>
          <w:bCs/>
          <w:sz w:val="28"/>
          <w:szCs w:val="28"/>
        </w:rPr>
        <w:t>银、0</w:t>
      </w:r>
      <w:r>
        <w:rPr>
          <w:rFonts w:ascii="仿宋" w:hAnsi="仿宋" w:eastAsia="仿宋" w:cs="仿宋"/>
          <w:bCs/>
          <w:sz w:val="28"/>
          <w:szCs w:val="28"/>
        </w:rPr>
        <w:t>.5</w:t>
      </w:r>
      <w:r>
        <w:rPr>
          <w:rFonts w:hint="eastAsia" w:ascii="仿宋" w:hAnsi="仿宋" w:eastAsia="仿宋" w:cs="仿宋"/>
          <w:bCs/>
          <w:sz w:val="28"/>
          <w:szCs w:val="28"/>
        </w:rPr>
        <w:t>铜计牌；各组别各小项前8名依次按11、9、8、7、6、5、4、3计分。</w:t>
      </w:r>
    </w:p>
    <w:p w14:paraId="6CDAFCD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28229E9F">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1005E42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（一）严格按照</w:t>
      </w:r>
      <w:r>
        <w:rPr>
          <w:rFonts w:hint="eastAsia" w:ascii="仿宋" w:hAnsi="仿宋" w:eastAsia="仿宋" w:cs="仿宋"/>
          <w:sz w:val="28"/>
          <w:szCs w:val="28"/>
          <w:lang w:val="en-US" w:eastAsia="zh-CN"/>
        </w:rPr>
        <w:t>世界</w:t>
      </w:r>
      <w:r>
        <w:rPr>
          <w:rFonts w:hint="eastAsia" w:ascii="仿宋" w:hAnsi="仿宋" w:eastAsia="仿宋" w:cs="仿宋"/>
          <w:sz w:val="28"/>
          <w:szCs w:val="28"/>
        </w:rPr>
        <w:t>攀联竞赛规则关于技术申诉的处理原则、规定及流程执行。</w:t>
      </w:r>
      <w:r>
        <w:rPr>
          <w:rFonts w:ascii="仿宋" w:hAnsi="仿宋" w:eastAsia="仿宋" w:cs="仿宋"/>
          <w:sz w:val="28"/>
          <w:szCs w:val="28"/>
        </w:rPr>
        <w:t xml:space="preserve"> </w:t>
      </w:r>
    </w:p>
    <w:p w14:paraId="4D0E49D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59A5F2E5">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4E64332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750B3196">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十四、运动员技术等级授予</w:t>
      </w:r>
    </w:p>
    <w:p w14:paraId="497A4034">
      <w:pPr>
        <w:adjustRightInd w:val="0"/>
        <w:snapToGrid w:val="0"/>
        <w:spacing w:line="540" w:lineRule="exact"/>
        <w:ind w:firstLine="560" w:firstLineChars="200"/>
        <w:rPr>
          <w:rFonts w:ascii="仿宋" w:hAnsi="仿宋" w:eastAsia="仿宋" w:cs="仿宋"/>
          <w:b/>
          <w:sz w:val="28"/>
          <w:szCs w:val="28"/>
        </w:rPr>
      </w:pPr>
      <w:r>
        <w:rPr>
          <w:rFonts w:hint="eastAsia" w:ascii="仿宋" w:hAnsi="仿宋" w:eastAsia="仿宋" w:cs="仿宋"/>
          <w:bCs/>
          <w:color w:val="000000"/>
          <w:sz w:val="28"/>
          <w:szCs w:val="28"/>
        </w:rPr>
        <w:t>本次比赛为2026年国家体育总局公布的可授予运动员技术等级称号赛事，本次比赛A组为可授予运动员技术等级的组别，具体标准按国家体育总局最新发布的《攀岩项目运动员技术等级标准》执行。</w:t>
      </w:r>
    </w:p>
    <w:p w14:paraId="71FDD657">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十五、其他</w:t>
      </w:r>
    </w:p>
    <w:p w14:paraId="3214C470">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（一）如本规程内容与本届运动会竞赛规程总则或上海市体育局相关规定发生冲突，则以本届运动会总则或上海市体育局规定为准。</w:t>
      </w:r>
    </w:p>
    <w:p w14:paraId="61C0C7D7">
      <w:pPr>
        <w:adjustRightInd w:val="0"/>
        <w:snapToGrid w:val="0"/>
        <w:spacing w:line="540" w:lineRule="exact"/>
        <w:ind w:firstLine="560" w:firstLineChars="200"/>
        <w:rPr>
          <w:rFonts w:ascii="仿宋" w:hAnsi="仿宋" w:eastAsia="仿宋" w:cs="仿宋"/>
          <w:color w:val="000000"/>
          <w:sz w:val="28"/>
          <w:szCs w:val="28"/>
        </w:rPr>
      </w:pPr>
      <w:bookmarkStart w:id="1" w:name="_Hlk162361054"/>
      <w:r>
        <w:rPr>
          <w:rFonts w:hint="eastAsia" w:ascii="仿宋" w:hAnsi="仿宋" w:eastAsia="仿宋" w:cs="仿宋"/>
          <w:color w:val="000000"/>
          <w:sz w:val="28"/>
          <w:szCs w:val="28"/>
        </w:rPr>
        <w:t>（二）参赛单位运动员、教练员应知晓体育竞赛的相关风险，确保自己身体状况符合参赛要求，自行承担非承办单位故意或重大过失导致的伤害。</w:t>
      </w:r>
      <w:bookmarkEnd w:id="1"/>
    </w:p>
    <w:p w14:paraId="3BBF6410">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（三）未尽事宜，另行通知。</w:t>
      </w:r>
    </w:p>
    <w:p w14:paraId="386E954D">
      <w:pPr>
        <w:spacing w:line="540" w:lineRule="exact"/>
      </w:pPr>
      <w:bookmarkStart w:id="2" w:name="_GoBack"/>
      <w:bookmarkEnd w:id="2"/>
    </w:p>
    <w:sectPr>
      <w:footnotePr>
        <w:numRestart w:val="eachPage"/>
      </w:footnotePr>
      <w:type w:val="continuous"/>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78A"/>
    <w:rsid w:val="00006201"/>
    <w:rsid w:val="00026F96"/>
    <w:rsid w:val="000A7B1F"/>
    <w:rsid w:val="000B0129"/>
    <w:rsid w:val="00171868"/>
    <w:rsid w:val="001772C1"/>
    <w:rsid w:val="001A72FC"/>
    <w:rsid w:val="001B7C93"/>
    <w:rsid w:val="001C0439"/>
    <w:rsid w:val="001D15AE"/>
    <w:rsid w:val="00217CA9"/>
    <w:rsid w:val="002278F5"/>
    <w:rsid w:val="00245981"/>
    <w:rsid w:val="002A225D"/>
    <w:rsid w:val="002C023D"/>
    <w:rsid w:val="002D6B5F"/>
    <w:rsid w:val="0038156C"/>
    <w:rsid w:val="003A6499"/>
    <w:rsid w:val="00431B88"/>
    <w:rsid w:val="0044278A"/>
    <w:rsid w:val="00457415"/>
    <w:rsid w:val="00457981"/>
    <w:rsid w:val="004E07DD"/>
    <w:rsid w:val="00513272"/>
    <w:rsid w:val="005212DB"/>
    <w:rsid w:val="00557FD8"/>
    <w:rsid w:val="00566702"/>
    <w:rsid w:val="00574DF1"/>
    <w:rsid w:val="005E49BF"/>
    <w:rsid w:val="005F4284"/>
    <w:rsid w:val="00607D0B"/>
    <w:rsid w:val="00626C8F"/>
    <w:rsid w:val="0067293C"/>
    <w:rsid w:val="0067644B"/>
    <w:rsid w:val="006B793D"/>
    <w:rsid w:val="006C168B"/>
    <w:rsid w:val="006E618D"/>
    <w:rsid w:val="007457C6"/>
    <w:rsid w:val="00756E9C"/>
    <w:rsid w:val="007654E8"/>
    <w:rsid w:val="00767CE2"/>
    <w:rsid w:val="007B392C"/>
    <w:rsid w:val="007E2C02"/>
    <w:rsid w:val="00824585"/>
    <w:rsid w:val="0085385F"/>
    <w:rsid w:val="00866312"/>
    <w:rsid w:val="00866809"/>
    <w:rsid w:val="008B5A52"/>
    <w:rsid w:val="00931A9F"/>
    <w:rsid w:val="00932F71"/>
    <w:rsid w:val="00981015"/>
    <w:rsid w:val="009C7357"/>
    <w:rsid w:val="00A0637D"/>
    <w:rsid w:val="00A36CDA"/>
    <w:rsid w:val="00A73759"/>
    <w:rsid w:val="00AC0458"/>
    <w:rsid w:val="00AC1428"/>
    <w:rsid w:val="00B01952"/>
    <w:rsid w:val="00B25925"/>
    <w:rsid w:val="00B31C4B"/>
    <w:rsid w:val="00B41B96"/>
    <w:rsid w:val="00B70F60"/>
    <w:rsid w:val="00B74E94"/>
    <w:rsid w:val="00B92601"/>
    <w:rsid w:val="00BC0971"/>
    <w:rsid w:val="00BF7FD5"/>
    <w:rsid w:val="00C1739B"/>
    <w:rsid w:val="00C318CD"/>
    <w:rsid w:val="00C42FAE"/>
    <w:rsid w:val="00C44125"/>
    <w:rsid w:val="00C46E44"/>
    <w:rsid w:val="00D204DA"/>
    <w:rsid w:val="00D550F0"/>
    <w:rsid w:val="00DA0AFE"/>
    <w:rsid w:val="00E554F7"/>
    <w:rsid w:val="00E63317"/>
    <w:rsid w:val="00E974A0"/>
    <w:rsid w:val="00EE5D67"/>
    <w:rsid w:val="00F03ACB"/>
    <w:rsid w:val="00F11F71"/>
    <w:rsid w:val="00F16E78"/>
    <w:rsid w:val="00F52FCA"/>
    <w:rsid w:val="00F54694"/>
    <w:rsid w:val="00F87B42"/>
    <w:rsid w:val="00F93AA1"/>
    <w:rsid w:val="00FD7EFC"/>
    <w:rsid w:val="00FE222B"/>
    <w:rsid w:val="04AC7736"/>
    <w:rsid w:val="122D52DF"/>
    <w:rsid w:val="15DF7B3C"/>
    <w:rsid w:val="1A22222E"/>
    <w:rsid w:val="1AB33228"/>
    <w:rsid w:val="28A62D8B"/>
    <w:rsid w:val="2AC97C2B"/>
    <w:rsid w:val="2DA717B3"/>
    <w:rsid w:val="399530D6"/>
    <w:rsid w:val="3E1511E9"/>
    <w:rsid w:val="4C3677AE"/>
    <w:rsid w:val="549900B9"/>
    <w:rsid w:val="60FE708C"/>
    <w:rsid w:val="6AE71EEF"/>
    <w:rsid w:val="72CE60C5"/>
    <w:rsid w:val="73942E89"/>
    <w:rsid w:val="79D13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caption"/>
    <w:basedOn w:val="1"/>
    <w:next w:val="1"/>
    <w:qFormat/>
    <w:uiPriority w:val="35"/>
    <w:rPr>
      <w:rFonts w:ascii="Cambria" w:hAnsi="Cambria" w:eastAsia="黑体" w:cs="宋体"/>
      <w:sz w:val="20"/>
      <w:szCs w:val="20"/>
    </w:rPr>
  </w:style>
  <w:style w:type="paragraph" w:styleId="3">
    <w:name w:val="annotation text"/>
    <w:basedOn w:val="1"/>
    <w:link w:val="20"/>
    <w:qFormat/>
    <w:uiPriority w:val="99"/>
    <w:pPr>
      <w:jc w:val="left"/>
    </w:pPr>
  </w:style>
  <w:style w:type="paragraph" w:styleId="4">
    <w:name w:val="endnote text"/>
    <w:basedOn w:val="1"/>
    <w:link w:val="23"/>
    <w:qFormat/>
    <w:uiPriority w:val="99"/>
    <w:pPr>
      <w:snapToGrid w:val="0"/>
      <w:jc w:val="left"/>
    </w:pPr>
  </w:style>
  <w:style w:type="paragraph" w:styleId="5">
    <w:name w:val="Balloon Text"/>
    <w:basedOn w:val="1"/>
    <w:link w:val="19"/>
    <w:qFormat/>
    <w:uiPriority w:val="99"/>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2"/>
    <w:qFormat/>
    <w:uiPriority w:val="99"/>
    <w:pPr>
      <w:snapToGrid w:val="0"/>
      <w:jc w:val="left"/>
    </w:pPr>
    <w:rPr>
      <w:sz w:val="18"/>
      <w:szCs w:val="18"/>
    </w:rPr>
  </w:style>
  <w:style w:type="paragraph" w:styleId="9">
    <w:name w:val="annotation subject"/>
    <w:basedOn w:val="3"/>
    <w:next w:val="3"/>
    <w:link w:val="21"/>
    <w:qFormat/>
    <w:uiPriority w:val="99"/>
    <w:rPr>
      <w:b/>
      <w:bCs/>
    </w:rPr>
  </w:style>
  <w:style w:type="character" w:styleId="12">
    <w:name w:val="endnote reference"/>
    <w:basedOn w:val="11"/>
    <w:qFormat/>
    <w:uiPriority w:val="99"/>
    <w:rPr>
      <w:vertAlign w:val="superscript"/>
    </w:rPr>
  </w:style>
  <w:style w:type="character" w:styleId="13">
    <w:name w:val="Hyperlink"/>
    <w:basedOn w:val="11"/>
    <w:qFormat/>
    <w:uiPriority w:val="99"/>
    <w:rPr>
      <w:color w:val="0000FF"/>
      <w:u w:val="single"/>
    </w:rPr>
  </w:style>
  <w:style w:type="character" w:styleId="14">
    <w:name w:val="annotation reference"/>
    <w:basedOn w:val="11"/>
    <w:qFormat/>
    <w:uiPriority w:val="99"/>
    <w:rPr>
      <w:sz w:val="21"/>
      <w:szCs w:val="21"/>
    </w:rPr>
  </w:style>
  <w:style w:type="character" w:styleId="15">
    <w:name w:val="footnote reference"/>
    <w:basedOn w:val="11"/>
    <w:qFormat/>
    <w:uiPriority w:val="99"/>
    <w:rPr>
      <w:vertAlign w:val="superscript"/>
    </w:rPr>
  </w:style>
  <w:style w:type="character" w:customStyle="1" w:styleId="16">
    <w:name w:val="页眉 字符"/>
    <w:basedOn w:val="11"/>
    <w:link w:val="7"/>
    <w:qFormat/>
    <w:uiPriority w:val="99"/>
    <w:rPr>
      <w:rFonts w:ascii="Calibri" w:hAnsi="Calibri" w:eastAsia="宋体" w:cs="Times New Roman"/>
      <w:sz w:val="18"/>
      <w:szCs w:val="18"/>
    </w:rPr>
  </w:style>
  <w:style w:type="character" w:customStyle="1" w:styleId="17">
    <w:name w:val="页脚 字符"/>
    <w:basedOn w:val="11"/>
    <w:link w:val="6"/>
    <w:qFormat/>
    <w:uiPriority w:val="99"/>
    <w:rPr>
      <w:rFonts w:ascii="Calibri" w:hAnsi="Calibri" w:eastAsia="宋体" w:cs="Times New Roman"/>
      <w:sz w:val="18"/>
      <w:szCs w:val="18"/>
    </w:rPr>
  </w:style>
  <w:style w:type="paragraph" w:styleId="18">
    <w:name w:val="List Paragraph"/>
    <w:basedOn w:val="1"/>
    <w:qFormat/>
    <w:uiPriority w:val="34"/>
    <w:pPr>
      <w:ind w:firstLine="420" w:firstLineChars="200"/>
    </w:pPr>
  </w:style>
  <w:style w:type="character" w:customStyle="1" w:styleId="19">
    <w:name w:val="批注框文本 字符"/>
    <w:basedOn w:val="11"/>
    <w:link w:val="5"/>
    <w:qFormat/>
    <w:uiPriority w:val="99"/>
    <w:rPr>
      <w:rFonts w:ascii="Calibri" w:hAnsi="Calibri" w:eastAsia="宋体" w:cs="Times New Roman"/>
      <w:kern w:val="2"/>
      <w:sz w:val="18"/>
      <w:szCs w:val="18"/>
    </w:rPr>
  </w:style>
  <w:style w:type="character" w:customStyle="1" w:styleId="20">
    <w:name w:val="批注文字 字符"/>
    <w:basedOn w:val="11"/>
    <w:link w:val="3"/>
    <w:qFormat/>
    <w:uiPriority w:val="99"/>
    <w:rPr>
      <w:rFonts w:ascii="Calibri" w:hAnsi="Calibri" w:eastAsia="宋体" w:cs="Times New Roman"/>
      <w:kern w:val="2"/>
      <w:sz w:val="21"/>
      <w:szCs w:val="24"/>
    </w:rPr>
  </w:style>
  <w:style w:type="character" w:customStyle="1" w:styleId="21">
    <w:name w:val="批注主题 字符"/>
    <w:basedOn w:val="20"/>
    <w:link w:val="9"/>
    <w:qFormat/>
    <w:uiPriority w:val="0"/>
    <w:rPr>
      <w:rFonts w:ascii="Calibri" w:hAnsi="Calibri" w:eastAsia="宋体" w:cs="Times New Roman"/>
      <w:kern w:val="2"/>
      <w:sz w:val="21"/>
      <w:szCs w:val="24"/>
    </w:rPr>
  </w:style>
  <w:style w:type="character" w:customStyle="1" w:styleId="22">
    <w:name w:val="脚注文本 字符"/>
    <w:basedOn w:val="11"/>
    <w:link w:val="8"/>
    <w:qFormat/>
    <w:uiPriority w:val="99"/>
    <w:rPr>
      <w:rFonts w:ascii="Calibri" w:hAnsi="Calibri" w:eastAsia="宋体" w:cs="Times New Roman"/>
      <w:kern w:val="2"/>
      <w:sz w:val="18"/>
      <w:szCs w:val="18"/>
    </w:rPr>
  </w:style>
  <w:style w:type="character" w:customStyle="1" w:styleId="23">
    <w:name w:val="尾注文本 字符"/>
    <w:basedOn w:val="11"/>
    <w:link w:val="4"/>
    <w:qFormat/>
    <w:uiPriority w:val="99"/>
    <w:rPr>
      <w:rFonts w:ascii="Calibri" w:hAnsi="Calibri" w:eastAsia="宋体" w:cs="Times New Roman"/>
      <w:kern w:val="2"/>
      <w:sz w:val="21"/>
      <w:szCs w:val="24"/>
    </w:rPr>
  </w:style>
  <w:style w:type="paragraph" w:customStyle="1" w:styleId="24">
    <w:name w:val="Table Text"/>
    <w:basedOn w:val="1"/>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通过公</b:Tag>
    <b:SourceType>Book</b:SourceType>
    <b:Guid>{82C0E58A-A785-48EF-9EC2-E60ACD13410E}</b:Guid>
    <b:Author>
      <b:Author>
        <b:NameList>
          <b:Person>
            <b:Last>通过公开申办，受主办方直接委托或管辖，直接参与赛事执行</b:Last>
          </b:Person>
        </b:NameList>
      </b:Author>
    </b:Author>
    <b:RefOrder>2</b:RefOrder>
  </b:Source>
  <b:Source>
    <b:Tag>通过公1</b:Tag>
    <b:SourceType>Book</b:SourceType>
    <b:Guid>{6737C864-A0B9-4D0D-904E-A66A7D59E19E}</b:Guid>
    <b:Author>
      <b:Author>
        <b:NameList>
          <b:Person>
            <b:Last>通过公开申办，受主办方直接委托或管辖，直接参与赛事执行</b:Last>
          </b:Person>
        </b:NameList>
      </b:Author>
    </b:Author>
    <b:RefOrder>1</b:RefOrder>
  </b:Source>
</b:Sources>
</file>

<file path=customXml/item2.xml><?xml version="1.0" encoding="utf-8"?>
<contractReview xmlns="http://schemas.wps.cn/vas-ai-hub/contract-review">
  <reviewItems>
    <reviewItem>
      <errorID>7289559d-0dfe-4740-8ca2-31de020ac6ee</errorID>
      <errorWord>(</errorWord>
      <group>L1_Format</group>
      <groupName>格式问题</groupName>
      <ability>L2_HalfPunc</ability>
      <abilityName>全半角检查</abilityName>
      <candidateList>
        <item>（</item>
      </candidateList>
      <explain>文本全半角错误。</explain>
      <paraID>2D1CFD2D</paraID>
      <start>6</start>
      <end>7</end>
      <status>unmodified</status>
      <modifiedWord/>
      <trackRevisions>false</trackRevisions>
    </reviewItem>
    <reviewItem>
      <errorID>7564726c-8a88-46fd-af50-caf8070306a5</errorID>
      <errorWord>)</errorWord>
      <group>L1_Format</group>
      <groupName>格式问题</groupName>
      <ability>L2_HalfPunc</ability>
      <abilityName>全半角检查</abilityName>
      <candidateList>
        <item>）</item>
      </candidateList>
      <explain>文本全半角错误。</explain>
      <paraID>2D1CFD2D</paraID>
      <start>11</start>
      <end>12</end>
      <status>unmodified</status>
      <modifiedWord/>
      <trackRevisions>false</trackRevisions>
    </reviewItem>
    <reviewItem>
      <errorID>a93905b0-75f3-44e3-9dab-fcb593d0a656</errorID>
      <errorWord>(</errorWord>
      <group>L1_Format</group>
      <groupName>格式问题</groupName>
      <ability>L2_HalfPunc</ability>
      <abilityName>全半角检查</abilityName>
      <candidateList>
        <item>（</item>
      </candidateList>
      <explain>文本全半角错误。</explain>
      <paraID> D779A79</paraID>
      <start>16</start>
      <end>17</end>
      <status>unmodified</status>
      <modifiedWord/>
      <trackRevisions>false</trackRevisions>
    </reviewItem>
    <reviewItem>
      <errorID>9190d1fa-682b-41e9-8948-12d0c2d6750b</errorID>
      <errorWord>)</errorWord>
      <group>L1_Format</group>
      <groupName>格式问题</groupName>
      <ability>L2_HalfPunc</ability>
      <abilityName>全半角检查</abilityName>
      <candidateList>
        <item>）</item>
      </candidateList>
      <explain>文本全半角错误。</explain>
      <paraID> D779A79</paraID>
      <start>22</start>
      <end>23</end>
      <status>unmodified</status>
      <modifiedWord/>
      <trackRevisions>false</trackRevisions>
    </reviewItem>
    <reviewItem>
      <errorID>99ddfa85-af39-4d0f-9b1e-7cf9f385a50e</errorID>
      <errorWord>)</errorWord>
      <group>L1_Format</group>
      <groupName>格式问题</groupName>
      <ability>L2_HalfPunc</ability>
      <abilityName>全半角检查</abilityName>
      <candidateList>
        <item>）</item>
      </candidateList>
      <explain>文本全半角错误。</explain>
      <paraID>6ECD71AF</paraID>
      <start>6</start>
      <end>7</end>
      <status>unmodified</status>
      <modifiedWord/>
      <trackRevisions>false</trackRevisions>
    </reviewItem>
  </reviewItems>
  <config/>
</contractReview>
</file>

<file path=customXml/itemProps1.xml><?xml version="1.0" encoding="utf-8"?>
<ds:datastoreItem xmlns:ds="http://schemas.openxmlformats.org/officeDocument/2006/customXml" ds:itemID="{625654C5-9F47-415F-B547-D9502E78804C}">
  <ds:schemaRefs/>
</ds:datastoreItem>
</file>

<file path=customXml/itemProps2.xml><?xml version="1.0" encoding="utf-8"?>
<ds:datastoreItem xmlns:ds="http://schemas.openxmlformats.org/officeDocument/2006/customXml" ds:itemID="{33F61D48-2B8E-4958-8BFA-8A2501A1CF9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2444</Words>
  <Characters>2576</Characters>
  <Lines>18</Lines>
  <Paragraphs>5</Paragraphs>
  <TotalTime>245</TotalTime>
  <ScaleCrop>false</ScaleCrop>
  <LinksUpToDate>false</LinksUpToDate>
  <CharactersWithSpaces>2585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2026-03-05T03:43:00Z</dcterms:created>
  <dc:creator>微软中国</dc:creator>
  <cp:lastModifiedBy>Anxin</cp:lastModifiedBy>
  <cp:lastPrinted>2026-05-13T06:59:08Z</cp:lastPrinted>
  <dcterms:modified xsi:type="dcterms:W3CDTF">2026-05-13T06:59:12Z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38A172602EBE455F87B577B8FFD7D14F_13</vt:lpwstr>
  </property>
  <property fmtid="{D5CDD505-2E9C-101B-9397-08002B2CF9AE}" pid="4" name="KSOTemplateDocerSaveRecord">
    <vt:lpwstr>eyJoZGlkIjoiNjcwZDM2YWRjOTIwMmMyMjU5NTdhNTFhOGFiMThmNjAiLCJ1c2VySWQiOiI0NDY1ODcxMTAifQ==</vt:lpwstr>
  </property>
</Properties>
</file>