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EC4D6B">
      <w:pPr>
        <w:keepNext w:val="0"/>
        <w:keepLines w:val="0"/>
        <w:pageBreakBefore w:val="0"/>
        <w:widowControl w:val="0"/>
        <w:kinsoku/>
        <w:wordWrap/>
        <w:autoSpaceDE/>
        <w:autoSpaceDN/>
        <w:bidi w:val="0"/>
        <w:adjustRightInd w:val="0"/>
        <w:snapToGrid w:val="0"/>
        <w:spacing w:line="540" w:lineRule="exact"/>
        <w:jc w:val="center"/>
        <w:textAlignment w:val="auto"/>
        <w:rPr>
          <w:rFonts w:ascii="宋体" w:hAnsi="宋体" w:cs="宋体"/>
          <w:b/>
          <w:bCs/>
          <w:color w:val="auto"/>
          <w:sz w:val="36"/>
          <w:szCs w:val="36"/>
          <w:highlight w:val="none"/>
        </w:rPr>
      </w:pPr>
      <w:r>
        <w:rPr>
          <w:rFonts w:hint="eastAsia" w:ascii="宋体" w:hAnsi="宋体" w:cs="宋体"/>
          <w:b/>
          <w:bCs/>
          <w:color w:val="auto"/>
          <w:sz w:val="36"/>
          <w:szCs w:val="36"/>
          <w:highlight w:val="none"/>
        </w:rPr>
        <w:t>上海市第十八届运动会</w:t>
      </w:r>
      <w:r>
        <w:rPr>
          <w:rFonts w:hint="eastAsia" w:ascii="宋体" w:hAnsi="宋体" w:cs="宋体"/>
          <w:b/>
          <w:bCs/>
          <w:color w:val="auto"/>
          <w:sz w:val="36"/>
          <w:szCs w:val="36"/>
          <w:highlight w:val="none"/>
          <w:lang w:val="en-US" w:eastAsia="zh-CN"/>
        </w:rPr>
        <w:t>花样游泳</w:t>
      </w:r>
      <w:r>
        <w:rPr>
          <w:rFonts w:hint="eastAsia" w:ascii="宋体" w:hAnsi="宋体" w:cs="宋体"/>
          <w:b/>
          <w:bCs/>
          <w:color w:val="auto"/>
          <w:sz w:val="36"/>
          <w:szCs w:val="36"/>
          <w:highlight w:val="none"/>
        </w:rPr>
        <w:t>比赛（青少年组）</w:t>
      </w:r>
    </w:p>
    <w:p w14:paraId="10D1B13F">
      <w:pPr>
        <w:keepNext w:val="0"/>
        <w:keepLines w:val="0"/>
        <w:pageBreakBefore w:val="0"/>
        <w:widowControl w:val="0"/>
        <w:kinsoku/>
        <w:wordWrap/>
        <w:autoSpaceDE/>
        <w:autoSpaceDN/>
        <w:bidi w:val="0"/>
        <w:snapToGrid w:val="0"/>
        <w:spacing w:line="540" w:lineRule="exact"/>
        <w:jc w:val="center"/>
        <w:textAlignment w:val="auto"/>
        <w:rPr>
          <w:rFonts w:hint="eastAsia" w:ascii="宋体" w:hAnsi="宋体" w:cs="宋体"/>
          <w:b/>
          <w:bCs/>
          <w:color w:val="auto"/>
          <w:sz w:val="36"/>
          <w:szCs w:val="36"/>
          <w:highlight w:val="none"/>
        </w:rPr>
      </w:pPr>
      <w:r>
        <w:rPr>
          <w:rFonts w:hint="eastAsia" w:ascii="宋体" w:hAnsi="宋体" w:cs="宋体"/>
          <w:b/>
          <w:bCs/>
          <w:color w:val="auto"/>
          <w:sz w:val="36"/>
          <w:szCs w:val="36"/>
          <w:highlight w:val="none"/>
        </w:rPr>
        <w:t>竞赛规程</w:t>
      </w:r>
    </w:p>
    <w:p w14:paraId="4F7CC8FF">
      <w:pPr>
        <w:keepNext w:val="0"/>
        <w:keepLines w:val="0"/>
        <w:pageBreakBefore w:val="0"/>
        <w:widowControl w:val="0"/>
        <w:kinsoku/>
        <w:wordWrap/>
        <w:autoSpaceDE/>
        <w:autoSpaceDN/>
        <w:bidi w:val="0"/>
        <w:snapToGrid w:val="0"/>
        <w:spacing w:line="540" w:lineRule="exact"/>
        <w:jc w:val="center"/>
        <w:textAlignment w:val="auto"/>
        <w:rPr>
          <w:rFonts w:hint="default" w:ascii="宋体" w:hAnsi="宋体" w:cs="宋体"/>
          <w:b/>
          <w:bCs/>
          <w:color w:val="auto"/>
          <w:sz w:val="36"/>
          <w:szCs w:val="36"/>
          <w:highlight w:val="none"/>
          <w:lang w:val="en-US" w:eastAsia="zh-CN"/>
        </w:rPr>
      </w:pPr>
    </w:p>
    <w:p w14:paraId="1F56C39E">
      <w:pPr>
        <w:keepNext w:val="0"/>
        <w:keepLines w:val="0"/>
        <w:pageBreakBefore w:val="0"/>
        <w:widowControl w:val="0"/>
        <w:kinsoku/>
        <w:wordWrap/>
        <w:overflowPunct/>
        <w:topLinePunct w:val="0"/>
        <w:autoSpaceDE/>
        <w:autoSpaceDN/>
        <w:bidi w:val="0"/>
        <w:adjustRightInd w:val="0"/>
        <w:snapToGrid w:val="0"/>
        <w:spacing w:line="540" w:lineRule="atLeast"/>
        <w:ind w:firstLine="562" w:firstLineChars="200"/>
        <w:textAlignment w:val="auto"/>
        <w:rPr>
          <w:rFonts w:ascii="仿宋" w:hAnsi="仿宋" w:eastAsia="仿宋" w:cs="仿宋"/>
          <w:color w:val="auto"/>
          <w:sz w:val="28"/>
          <w:szCs w:val="28"/>
          <w:highlight w:val="none"/>
        </w:rPr>
      </w:pPr>
      <w:r>
        <w:rPr>
          <w:rFonts w:hint="eastAsia" w:ascii="仿宋" w:hAnsi="仿宋" w:eastAsia="仿宋" w:cs="仿宋"/>
          <w:b/>
          <w:color w:val="auto"/>
          <w:sz w:val="28"/>
          <w:szCs w:val="28"/>
          <w:highlight w:val="none"/>
        </w:rPr>
        <w:t>一、主办单位：</w:t>
      </w:r>
      <w:r>
        <w:rPr>
          <w:rFonts w:hint="eastAsia" w:ascii="仿宋" w:hAnsi="仿宋" w:eastAsia="仿宋" w:cs="仿宋"/>
          <w:color w:val="auto"/>
          <w:sz w:val="28"/>
          <w:szCs w:val="28"/>
          <w:highlight w:val="none"/>
        </w:rPr>
        <w:t>上海市体育局</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上海市教育委员会</w:t>
      </w:r>
    </w:p>
    <w:p w14:paraId="639E5867">
      <w:pPr>
        <w:keepNext w:val="0"/>
        <w:keepLines w:val="0"/>
        <w:pageBreakBefore w:val="0"/>
        <w:widowControl w:val="0"/>
        <w:kinsoku/>
        <w:wordWrap/>
        <w:overflowPunct/>
        <w:topLinePunct w:val="0"/>
        <w:autoSpaceDE/>
        <w:autoSpaceDN/>
        <w:bidi w:val="0"/>
        <w:adjustRightInd w:val="0"/>
        <w:snapToGrid w:val="0"/>
        <w:spacing w:line="540" w:lineRule="atLeast"/>
        <w:ind w:firstLine="562" w:firstLineChars="200"/>
        <w:textAlignment w:val="auto"/>
        <w:rPr>
          <w:rFonts w:ascii="仿宋" w:hAnsi="仿宋" w:eastAsia="仿宋" w:cs="仿宋"/>
          <w:color w:val="auto"/>
          <w:sz w:val="28"/>
          <w:szCs w:val="28"/>
          <w:highlight w:val="none"/>
        </w:rPr>
      </w:pPr>
      <w:r>
        <w:rPr>
          <w:rFonts w:hint="eastAsia" w:ascii="仿宋" w:hAnsi="仿宋" w:eastAsia="仿宋" w:cs="仿宋"/>
          <w:b/>
          <w:color w:val="auto"/>
          <w:sz w:val="28"/>
          <w:szCs w:val="28"/>
          <w:highlight w:val="none"/>
        </w:rPr>
        <w:t>二、承办单位：</w:t>
      </w:r>
      <w:r>
        <w:rPr>
          <w:rFonts w:hint="eastAsia" w:ascii="仿宋" w:hAnsi="仿宋" w:eastAsia="仿宋" w:cs="仿宋"/>
          <w:color w:val="auto"/>
          <w:sz w:val="28"/>
          <w:szCs w:val="28"/>
          <w:highlight w:val="none"/>
        </w:rPr>
        <w:t>上海市竞技体育训练管理中心</w:t>
      </w:r>
      <w:r>
        <w:rPr>
          <w:rFonts w:hint="eastAsia" w:ascii="仿宋" w:hAnsi="仿宋" w:eastAsia="仿宋" w:cs="仿宋"/>
          <w:color w:val="auto"/>
          <w:sz w:val="28"/>
          <w:szCs w:val="28"/>
          <w:highlight w:val="none"/>
          <w:lang w:val="en-US" w:eastAsia="zh-CN"/>
        </w:rPr>
        <w:t>游泳</w:t>
      </w:r>
      <w:r>
        <w:rPr>
          <w:rFonts w:hint="eastAsia" w:ascii="仿宋" w:hAnsi="仿宋" w:eastAsia="仿宋" w:cs="仿宋"/>
          <w:color w:val="auto"/>
          <w:sz w:val="28"/>
          <w:szCs w:val="28"/>
          <w:highlight w:val="none"/>
        </w:rPr>
        <w:t>运动中心</w:t>
      </w:r>
    </w:p>
    <w:p w14:paraId="4CB257A9">
      <w:pPr>
        <w:keepNext w:val="0"/>
        <w:keepLines w:val="0"/>
        <w:pageBreakBefore w:val="0"/>
        <w:widowControl w:val="0"/>
        <w:kinsoku/>
        <w:wordWrap/>
        <w:overflowPunct/>
        <w:topLinePunct w:val="0"/>
        <w:autoSpaceDE/>
        <w:autoSpaceDN/>
        <w:bidi w:val="0"/>
        <w:adjustRightInd w:val="0"/>
        <w:snapToGrid w:val="0"/>
        <w:spacing w:line="540" w:lineRule="atLeast"/>
        <w:ind w:firstLine="2520" w:firstLineChars="9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上海市游泳</w:t>
      </w:r>
      <w:r>
        <w:rPr>
          <w:rFonts w:hint="eastAsia" w:ascii="仿宋" w:hAnsi="仿宋" w:eastAsia="仿宋" w:cs="仿宋"/>
          <w:color w:val="auto"/>
          <w:sz w:val="28"/>
          <w:szCs w:val="28"/>
          <w:highlight w:val="none"/>
        </w:rPr>
        <w:t>协会</w:t>
      </w:r>
    </w:p>
    <w:p w14:paraId="0A266818">
      <w:pPr>
        <w:keepNext w:val="0"/>
        <w:keepLines w:val="0"/>
        <w:pageBreakBefore w:val="0"/>
        <w:widowControl w:val="0"/>
        <w:kinsoku/>
        <w:wordWrap/>
        <w:overflowPunct/>
        <w:topLinePunct w:val="0"/>
        <w:autoSpaceDE/>
        <w:autoSpaceDN/>
        <w:bidi w:val="0"/>
        <w:adjustRightInd w:val="0"/>
        <w:snapToGrid w:val="0"/>
        <w:spacing w:line="540" w:lineRule="atLeast"/>
        <w:ind w:firstLine="2520" w:firstLineChars="900"/>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上海东体青少年体育俱乐部</w:t>
      </w:r>
    </w:p>
    <w:p w14:paraId="0D454C33">
      <w:pPr>
        <w:keepNext w:val="0"/>
        <w:keepLines w:val="0"/>
        <w:pageBreakBefore w:val="0"/>
        <w:widowControl w:val="0"/>
        <w:kinsoku/>
        <w:wordWrap/>
        <w:overflowPunct/>
        <w:topLinePunct w:val="0"/>
        <w:autoSpaceDE/>
        <w:autoSpaceDN/>
        <w:bidi w:val="0"/>
        <w:adjustRightInd w:val="0"/>
        <w:snapToGrid w:val="0"/>
        <w:spacing w:line="540" w:lineRule="atLeast"/>
        <w:ind w:firstLine="562"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b/>
          <w:color w:val="auto"/>
          <w:sz w:val="28"/>
          <w:szCs w:val="28"/>
          <w:highlight w:val="none"/>
        </w:rPr>
        <w:t>三、协办单位：</w:t>
      </w:r>
      <w:r>
        <w:rPr>
          <w:rFonts w:hint="eastAsia" w:ascii="仿宋" w:hAnsi="仿宋" w:eastAsia="仿宋" w:cs="仿宋"/>
          <w:color w:val="auto"/>
          <w:sz w:val="28"/>
          <w:szCs w:val="28"/>
          <w:highlight w:val="none"/>
          <w:lang w:val="en-US" w:eastAsia="zh-CN"/>
        </w:rPr>
        <w:t>待定</w:t>
      </w:r>
    </w:p>
    <w:p w14:paraId="6E733100">
      <w:pPr>
        <w:keepNext w:val="0"/>
        <w:keepLines w:val="0"/>
        <w:pageBreakBefore w:val="0"/>
        <w:widowControl w:val="0"/>
        <w:kinsoku/>
        <w:wordWrap/>
        <w:overflowPunct/>
        <w:topLinePunct w:val="0"/>
        <w:autoSpaceDE/>
        <w:autoSpaceDN/>
        <w:bidi w:val="0"/>
        <w:adjustRightInd w:val="0"/>
        <w:snapToGrid w:val="0"/>
        <w:spacing w:line="540" w:lineRule="atLeast"/>
        <w:ind w:firstLine="562"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b/>
          <w:color w:val="auto"/>
          <w:sz w:val="28"/>
          <w:szCs w:val="28"/>
          <w:highlight w:val="none"/>
        </w:rPr>
        <w:t>四、竞赛日期：</w:t>
      </w:r>
      <w:r>
        <w:rPr>
          <w:rFonts w:hint="eastAsia" w:ascii="仿宋" w:hAnsi="仿宋" w:eastAsia="仿宋" w:cs="仿宋"/>
          <w:color w:val="auto"/>
          <w:sz w:val="28"/>
          <w:szCs w:val="28"/>
          <w:highlight w:val="none"/>
        </w:rPr>
        <w:t>2026年</w:t>
      </w:r>
      <w:r>
        <w:rPr>
          <w:rFonts w:hint="eastAsia" w:ascii="仿宋" w:hAnsi="仿宋" w:eastAsia="仿宋" w:cs="仿宋"/>
          <w:color w:val="auto"/>
          <w:sz w:val="28"/>
          <w:szCs w:val="28"/>
          <w:highlight w:val="none"/>
          <w:lang w:val="en-US" w:eastAsia="zh-CN"/>
        </w:rPr>
        <w:t>8</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rPr>
        <w:t>月</w:t>
      </w:r>
    </w:p>
    <w:p w14:paraId="542BBE84">
      <w:pPr>
        <w:keepNext w:val="0"/>
        <w:keepLines w:val="0"/>
        <w:pageBreakBefore w:val="0"/>
        <w:widowControl w:val="0"/>
        <w:kinsoku/>
        <w:wordWrap/>
        <w:overflowPunct/>
        <w:topLinePunct w:val="0"/>
        <w:autoSpaceDE/>
        <w:autoSpaceDN/>
        <w:bidi w:val="0"/>
        <w:adjustRightInd w:val="0"/>
        <w:snapToGrid w:val="0"/>
        <w:spacing w:line="540" w:lineRule="atLeast"/>
        <w:ind w:firstLine="562" w:firstLineChars="200"/>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b/>
          <w:color w:val="auto"/>
          <w:sz w:val="28"/>
          <w:szCs w:val="28"/>
          <w:highlight w:val="none"/>
        </w:rPr>
        <w:t>五、竞赛地点：</w:t>
      </w:r>
      <w:r>
        <w:rPr>
          <w:rFonts w:hint="eastAsia" w:ascii="仿宋" w:hAnsi="仿宋" w:eastAsia="仿宋" w:cs="仿宋"/>
          <w:color w:val="auto"/>
          <w:sz w:val="28"/>
          <w:szCs w:val="28"/>
          <w:highlight w:val="none"/>
        </w:rPr>
        <w:t>上海市</w:t>
      </w:r>
      <w:r>
        <w:rPr>
          <w:rFonts w:hint="eastAsia" w:ascii="仿宋" w:hAnsi="仿宋" w:eastAsia="仿宋" w:cs="仿宋"/>
          <w:color w:val="auto"/>
          <w:sz w:val="28"/>
          <w:szCs w:val="28"/>
          <w:highlight w:val="none"/>
          <w:lang w:val="en-US" w:eastAsia="zh-CN"/>
        </w:rPr>
        <w:t>东方绿舟体育训练基地花样游泳馆</w:t>
      </w:r>
    </w:p>
    <w:p w14:paraId="2D38AEFD">
      <w:pPr>
        <w:keepNext w:val="0"/>
        <w:keepLines w:val="0"/>
        <w:pageBreakBefore w:val="0"/>
        <w:widowControl w:val="0"/>
        <w:kinsoku/>
        <w:wordWrap/>
        <w:overflowPunct/>
        <w:topLinePunct w:val="0"/>
        <w:autoSpaceDE/>
        <w:autoSpaceDN/>
        <w:bidi w:val="0"/>
        <w:adjustRightInd w:val="0"/>
        <w:snapToGrid w:val="0"/>
        <w:spacing w:line="540" w:lineRule="atLeast"/>
        <w:ind w:firstLine="2520" w:firstLineChars="9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（上海市</w:t>
      </w:r>
      <w:r>
        <w:rPr>
          <w:rFonts w:hint="eastAsia" w:ascii="仿宋" w:hAnsi="仿宋" w:eastAsia="仿宋" w:cs="仿宋"/>
          <w:color w:val="auto"/>
          <w:sz w:val="28"/>
          <w:szCs w:val="28"/>
          <w:highlight w:val="none"/>
          <w:lang w:val="en-US" w:eastAsia="zh-CN"/>
        </w:rPr>
        <w:t>青浦</w:t>
      </w:r>
      <w:r>
        <w:rPr>
          <w:rFonts w:hint="eastAsia" w:ascii="仿宋" w:hAnsi="仿宋" w:eastAsia="仿宋" w:cs="仿宋"/>
          <w:color w:val="auto"/>
          <w:sz w:val="28"/>
          <w:szCs w:val="28"/>
          <w:highlight w:val="none"/>
        </w:rPr>
        <w:t>区</w:t>
      </w:r>
      <w:r>
        <w:rPr>
          <w:rFonts w:hint="eastAsia" w:ascii="仿宋" w:hAnsi="仿宋" w:eastAsia="仿宋" w:cs="仿宋"/>
          <w:color w:val="auto"/>
          <w:sz w:val="28"/>
          <w:szCs w:val="28"/>
          <w:highlight w:val="none"/>
          <w:lang w:val="en-US" w:eastAsia="zh-CN"/>
        </w:rPr>
        <w:t>沪青平公路6888号</w:t>
      </w:r>
      <w:r>
        <w:rPr>
          <w:rFonts w:hint="eastAsia" w:ascii="仿宋" w:hAnsi="仿宋" w:eastAsia="仿宋" w:cs="仿宋"/>
          <w:color w:val="auto"/>
          <w:sz w:val="28"/>
          <w:szCs w:val="28"/>
          <w:highlight w:val="none"/>
        </w:rPr>
        <w:t>）</w:t>
      </w:r>
    </w:p>
    <w:p w14:paraId="729DDC00">
      <w:pPr>
        <w:keepNext w:val="0"/>
        <w:keepLines w:val="0"/>
        <w:pageBreakBefore w:val="0"/>
        <w:widowControl w:val="0"/>
        <w:kinsoku/>
        <w:wordWrap/>
        <w:overflowPunct/>
        <w:topLinePunct w:val="0"/>
        <w:autoSpaceDE/>
        <w:autoSpaceDN/>
        <w:bidi w:val="0"/>
        <w:adjustRightInd w:val="0"/>
        <w:snapToGrid w:val="0"/>
        <w:spacing w:line="540" w:lineRule="atLeast"/>
        <w:ind w:firstLine="562" w:firstLineChars="200"/>
        <w:textAlignment w:val="auto"/>
        <w:rPr>
          <w:rFonts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六、参赛单位</w:t>
      </w:r>
      <w:r>
        <w:rPr>
          <w:rFonts w:hint="eastAsia" w:ascii="仿宋" w:hAnsi="仿宋" w:eastAsia="仿宋" w:cs="仿宋"/>
          <w:color w:val="auto"/>
          <w:sz w:val="28"/>
          <w:szCs w:val="28"/>
          <w:highlight w:val="none"/>
        </w:rPr>
        <w:t>：本市各区</w:t>
      </w:r>
    </w:p>
    <w:p w14:paraId="2D0DDFC4">
      <w:pPr>
        <w:keepNext w:val="0"/>
        <w:keepLines w:val="0"/>
        <w:pageBreakBefore w:val="0"/>
        <w:widowControl w:val="0"/>
        <w:kinsoku/>
        <w:wordWrap/>
        <w:overflowPunct/>
        <w:topLinePunct w:val="0"/>
        <w:autoSpaceDE/>
        <w:autoSpaceDN/>
        <w:bidi w:val="0"/>
        <w:adjustRightInd w:val="0"/>
        <w:snapToGrid w:val="0"/>
        <w:spacing w:line="540" w:lineRule="atLeast"/>
        <w:ind w:firstLine="562" w:firstLineChars="200"/>
        <w:textAlignment w:val="auto"/>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七、年龄组别和小项设置</w:t>
      </w:r>
    </w:p>
    <w:tbl>
      <w:tblPr>
        <w:tblStyle w:val="10"/>
        <w:tblW w:w="9435" w:type="dxa"/>
        <w:tblInd w:w="-444"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780"/>
        <w:gridCol w:w="2155"/>
        <w:gridCol w:w="994"/>
        <w:gridCol w:w="2823"/>
        <w:gridCol w:w="2683"/>
      </w:tblGrid>
      <w:tr w14:paraId="020F0E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7" w:hRule="atLeast"/>
        </w:trPr>
        <w:tc>
          <w:tcPr>
            <w:tcW w:w="780" w:type="dxa"/>
            <w:tcBorders>
              <w:top w:val="single" w:color="000000" w:sz="6" w:space="0"/>
              <w:left w:val="single" w:color="000000" w:sz="6" w:space="0"/>
              <w:bottom w:val="single" w:color="auto" w:sz="4" w:space="0"/>
              <w:right w:val="single" w:color="000000" w:sz="6" w:space="0"/>
            </w:tcBorders>
            <w:vAlign w:val="center"/>
          </w:tcPr>
          <w:p w14:paraId="084E2E1C">
            <w:pPr>
              <w:keepNext w:val="0"/>
              <w:keepLines w:val="0"/>
              <w:pageBreakBefore w:val="0"/>
              <w:widowControl w:val="0"/>
              <w:kinsoku/>
              <w:wordWrap/>
              <w:overflowPunct/>
              <w:topLinePunct w:val="0"/>
              <w:autoSpaceDE/>
              <w:autoSpaceDN/>
              <w:bidi w:val="0"/>
              <w:adjustRightInd w:val="0"/>
              <w:snapToGrid w:val="0"/>
              <w:spacing w:line="0" w:lineRule="atLeast"/>
              <w:ind w:left="9"/>
              <w:jc w:val="center"/>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组别</w:t>
            </w:r>
          </w:p>
        </w:tc>
        <w:tc>
          <w:tcPr>
            <w:tcW w:w="2155" w:type="dxa"/>
            <w:tcBorders>
              <w:top w:val="single" w:color="000000" w:sz="6" w:space="0"/>
              <w:left w:val="single" w:color="000000" w:sz="6" w:space="0"/>
              <w:bottom w:val="single" w:color="auto" w:sz="4" w:space="0"/>
              <w:right w:val="single" w:color="000000" w:sz="6" w:space="0"/>
            </w:tcBorders>
            <w:vAlign w:val="center"/>
          </w:tcPr>
          <w:p w14:paraId="3A4B9BB9">
            <w:pPr>
              <w:keepNext w:val="0"/>
              <w:keepLines w:val="0"/>
              <w:pageBreakBefore w:val="0"/>
              <w:widowControl w:val="0"/>
              <w:kinsoku/>
              <w:wordWrap/>
              <w:overflowPunct/>
              <w:topLinePunct w:val="0"/>
              <w:autoSpaceDE/>
              <w:autoSpaceDN/>
              <w:bidi w:val="0"/>
              <w:adjustRightInd w:val="0"/>
              <w:snapToGrid w:val="0"/>
              <w:spacing w:line="0" w:lineRule="atLeast"/>
              <w:ind w:left="23"/>
              <w:jc w:val="center"/>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年龄段</w:t>
            </w:r>
          </w:p>
        </w:tc>
        <w:tc>
          <w:tcPr>
            <w:tcW w:w="994" w:type="dxa"/>
            <w:tcBorders>
              <w:top w:val="single" w:color="000000" w:sz="6" w:space="0"/>
              <w:left w:val="single" w:color="000000" w:sz="6" w:space="0"/>
              <w:bottom w:val="single" w:color="auto" w:sz="4" w:space="0"/>
              <w:right w:val="single" w:color="000000" w:sz="6" w:space="0"/>
            </w:tcBorders>
            <w:vAlign w:val="center"/>
          </w:tcPr>
          <w:p w14:paraId="01A1E0DA">
            <w:pPr>
              <w:keepNext w:val="0"/>
              <w:keepLines w:val="0"/>
              <w:pageBreakBefore w:val="0"/>
              <w:widowControl w:val="0"/>
              <w:kinsoku/>
              <w:wordWrap/>
              <w:overflowPunct/>
              <w:topLinePunct w:val="0"/>
              <w:autoSpaceDE/>
              <w:autoSpaceDN/>
              <w:bidi w:val="0"/>
              <w:adjustRightInd w:val="0"/>
              <w:snapToGrid w:val="0"/>
              <w:spacing w:line="0" w:lineRule="atLeast"/>
              <w:ind w:left="49"/>
              <w:jc w:val="center"/>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设项数</w:t>
            </w:r>
          </w:p>
        </w:tc>
        <w:tc>
          <w:tcPr>
            <w:tcW w:w="2823" w:type="dxa"/>
            <w:tcBorders>
              <w:top w:val="single" w:color="000000" w:sz="6" w:space="0"/>
              <w:left w:val="single" w:color="000000" w:sz="6" w:space="0"/>
              <w:bottom w:val="single" w:color="auto" w:sz="4" w:space="0"/>
              <w:right w:val="single" w:color="000000" w:sz="6" w:space="0"/>
            </w:tcBorders>
            <w:vAlign w:val="center"/>
          </w:tcPr>
          <w:p w14:paraId="3A3BBA1A">
            <w:pPr>
              <w:keepNext w:val="0"/>
              <w:keepLines w:val="0"/>
              <w:pageBreakBefore w:val="0"/>
              <w:widowControl w:val="0"/>
              <w:kinsoku/>
              <w:wordWrap/>
              <w:overflowPunct/>
              <w:topLinePunct w:val="0"/>
              <w:autoSpaceDE/>
              <w:autoSpaceDN/>
              <w:bidi w:val="0"/>
              <w:adjustRightInd w:val="0"/>
              <w:snapToGrid w:val="0"/>
              <w:spacing w:line="0" w:lineRule="atLeast"/>
              <w:ind w:left="9"/>
              <w:jc w:val="center"/>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男子</w:t>
            </w:r>
          </w:p>
        </w:tc>
        <w:tc>
          <w:tcPr>
            <w:tcW w:w="2683" w:type="dxa"/>
            <w:tcBorders>
              <w:top w:val="single" w:color="000000" w:sz="6" w:space="0"/>
              <w:left w:val="single" w:color="000000" w:sz="6" w:space="0"/>
              <w:bottom w:val="single" w:color="auto" w:sz="4" w:space="0"/>
              <w:right w:val="single" w:color="000000" w:sz="6" w:space="0"/>
            </w:tcBorders>
            <w:vAlign w:val="center"/>
          </w:tcPr>
          <w:p w14:paraId="205F460C">
            <w:pPr>
              <w:keepNext w:val="0"/>
              <w:keepLines w:val="0"/>
              <w:pageBreakBefore w:val="0"/>
              <w:widowControl w:val="0"/>
              <w:kinsoku/>
              <w:wordWrap/>
              <w:overflowPunct/>
              <w:topLinePunct w:val="0"/>
              <w:autoSpaceDE/>
              <w:autoSpaceDN/>
              <w:bidi w:val="0"/>
              <w:adjustRightInd w:val="0"/>
              <w:snapToGrid w:val="0"/>
              <w:spacing w:line="0" w:lineRule="atLeast"/>
              <w:ind w:left="9"/>
              <w:jc w:val="center"/>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女子</w:t>
            </w:r>
          </w:p>
        </w:tc>
      </w:tr>
      <w:tr w14:paraId="20656A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08" w:hRule="atLeast"/>
        </w:trPr>
        <w:tc>
          <w:tcPr>
            <w:tcW w:w="780" w:type="dxa"/>
            <w:vMerge w:val="restart"/>
            <w:tcBorders>
              <w:top w:val="single" w:color="auto" w:sz="4" w:space="0"/>
              <w:left w:val="single" w:color="auto" w:sz="4" w:space="0"/>
              <w:bottom w:val="single" w:color="auto" w:sz="4" w:space="0"/>
              <w:right w:val="single" w:color="auto" w:sz="4" w:space="0"/>
            </w:tcBorders>
            <w:vAlign w:val="center"/>
          </w:tcPr>
          <w:p w14:paraId="169B04CF">
            <w:pPr>
              <w:keepNext w:val="0"/>
              <w:keepLines w:val="0"/>
              <w:pageBreakBefore w:val="0"/>
              <w:widowControl w:val="0"/>
              <w:kinsoku/>
              <w:wordWrap/>
              <w:overflowPunct/>
              <w:topLinePunct w:val="0"/>
              <w:autoSpaceDE/>
              <w:autoSpaceDN/>
              <w:bidi w:val="0"/>
              <w:adjustRightInd w:val="0"/>
              <w:snapToGrid w:val="0"/>
              <w:spacing w:line="0" w:lineRule="atLeast"/>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A</w:t>
            </w:r>
          </w:p>
        </w:tc>
        <w:tc>
          <w:tcPr>
            <w:tcW w:w="2155" w:type="dxa"/>
            <w:vMerge w:val="restart"/>
            <w:tcBorders>
              <w:top w:val="single" w:color="auto" w:sz="4" w:space="0"/>
              <w:left w:val="single" w:color="auto" w:sz="4" w:space="0"/>
              <w:bottom w:val="single" w:color="auto" w:sz="4" w:space="0"/>
              <w:right w:val="single" w:color="auto" w:sz="4" w:space="0"/>
            </w:tcBorders>
            <w:vAlign w:val="center"/>
          </w:tcPr>
          <w:p w14:paraId="541424E2">
            <w:pPr>
              <w:keepNext w:val="0"/>
              <w:keepLines w:val="0"/>
              <w:pageBreakBefore w:val="0"/>
              <w:widowControl w:val="0"/>
              <w:kinsoku/>
              <w:wordWrap/>
              <w:overflowPunct/>
              <w:topLinePunct w:val="0"/>
              <w:autoSpaceDE/>
              <w:autoSpaceDN/>
              <w:bidi w:val="0"/>
              <w:adjustRightInd w:val="0"/>
              <w:snapToGrid w:val="0"/>
              <w:spacing w:line="0" w:lineRule="atLeast"/>
              <w:ind w:left="8" w:leftChars="4"/>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08.9.1-13.12.31</w:t>
            </w:r>
          </w:p>
        </w:tc>
        <w:tc>
          <w:tcPr>
            <w:tcW w:w="994" w:type="dxa"/>
            <w:vMerge w:val="restart"/>
            <w:tcBorders>
              <w:top w:val="single" w:color="auto" w:sz="4" w:space="0"/>
              <w:left w:val="single" w:color="auto" w:sz="4" w:space="0"/>
              <w:bottom w:val="single" w:color="auto" w:sz="4" w:space="0"/>
              <w:right w:val="single" w:color="auto" w:sz="4" w:space="0"/>
            </w:tcBorders>
            <w:vAlign w:val="center"/>
          </w:tcPr>
          <w:p w14:paraId="23D7DEF9">
            <w:pPr>
              <w:keepNext w:val="0"/>
              <w:keepLines w:val="0"/>
              <w:pageBreakBefore w:val="0"/>
              <w:widowControl w:val="0"/>
              <w:kinsoku/>
              <w:wordWrap/>
              <w:overflowPunct/>
              <w:topLinePunct w:val="0"/>
              <w:autoSpaceDE/>
              <w:autoSpaceDN/>
              <w:bidi w:val="0"/>
              <w:adjustRightInd w:val="0"/>
              <w:snapToGrid w:val="0"/>
              <w:spacing w:line="0" w:lineRule="atLeast"/>
              <w:ind w:left="21" w:leftChars="1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2823" w:type="dxa"/>
            <w:tcBorders>
              <w:top w:val="single" w:color="auto" w:sz="4" w:space="0"/>
              <w:left w:val="single" w:color="auto" w:sz="4" w:space="0"/>
              <w:bottom w:val="single" w:color="auto" w:sz="4" w:space="0"/>
              <w:right w:val="single" w:color="auto" w:sz="4" w:space="0"/>
            </w:tcBorders>
            <w:vAlign w:val="center"/>
          </w:tcPr>
          <w:p w14:paraId="1380AA54">
            <w:pPr>
              <w:pStyle w:val="25"/>
              <w:keepNext w:val="0"/>
              <w:keepLines w:val="0"/>
              <w:pageBreakBefore w:val="0"/>
              <w:widowControl w:val="0"/>
              <w:kinsoku/>
              <w:wordWrap/>
              <w:overflowPunct/>
              <w:topLinePunct w:val="0"/>
              <w:autoSpaceDE/>
              <w:autoSpaceDN/>
              <w:bidi w:val="0"/>
              <w:adjustRightInd w:val="0"/>
              <w:snapToGrid w:val="0"/>
              <w:spacing w:line="0" w:lineRule="atLeast"/>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p>
        </w:tc>
        <w:tc>
          <w:tcPr>
            <w:tcW w:w="2683" w:type="dxa"/>
            <w:tcBorders>
              <w:top w:val="single" w:color="auto" w:sz="4" w:space="0"/>
              <w:left w:val="single" w:color="auto" w:sz="4" w:space="0"/>
              <w:bottom w:val="single" w:color="auto" w:sz="4" w:space="0"/>
              <w:right w:val="single" w:color="auto" w:sz="4" w:space="0"/>
            </w:tcBorders>
            <w:vAlign w:val="center"/>
          </w:tcPr>
          <w:p w14:paraId="71C45B4C">
            <w:pPr>
              <w:keepNext w:val="0"/>
              <w:keepLines w:val="0"/>
              <w:pageBreakBefore w:val="0"/>
              <w:widowControl w:val="0"/>
              <w:kinsoku/>
              <w:wordWrap/>
              <w:overflowPunct/>
              <w:topLinePunct w:val="0"/>
              <w:autoSpaceDE/>
              <w:autoSpaceDN/>
              <w:bidi w:val="0"/>
              <w:adjustRightInd w:val="0"/>
              <w:snapToGrid w:val="0"/>
              <w:spacing w:before="105" w:line="0" w:lineRule="atLeast"/>
              <w:jc w:val="center"/>
              <w:textAlignment w:val="auto"/>
              <w:rPr>
                <w:rFonts w:hint="default" w:ascii="仿宋" w:hAnsi="仿宋" w:eastAsia="仿宋" w:cs="仿宋"/>
                <w:color w:val="auto"/>
                <w:spacing w:val="-1"/>
                <w:sz w:val="24"/>
                <w:szCs w:val="24"/>
                <w:highlight w:val="none"/>
                <w:lang w:val="en-US" w:eastAsia="zh-CN"/>
              </w:rPr>
            </w:pPr>
            <w:r>
              <w:rPr>
                <w:rFonts w:hint="eastAsia" w:ascii="仿宋" w:hAnsi="仿宋" w:eastAsia="仿宋" w:cs="仿宋"/>
                <w:color w:val="auto"/>
                <w:spacing w:val="-1"/>
                <w:sz w:val="24"/>
                <w:szCs w:val="24"/>
                <w:highlight w:val="none"/>
                <w:lang w:eastAsia="zh-CN"/>
              </w:rPr>
              <w:t>单人自由自选</w:t>
            </w:r>
          </w:p>
          <w:p w14:paraId="2A2D215B">
            <w:pPr>
              <w:keepNext w:val="0"/>
              <w:keepLines w:val="0"/>
              <w:pageBreakBefore w:val="0"/>
              <w:widowControl w:val="0"/>
              <w:kinsoku/>
              <w:wordWrap/>
              <w:overflowPunct/>
              <w:topLinePunct w:val="0"/>
              <w:autoSpaceDE/>
              <w:autoSpaceDN/>
              <w:bidi w:val="0"/>
              <w:adjustRightInd w:val="0"/>
              <w:snapToGrid w:val="0"/>
              <w:spacing w:before="105" w:line="0" w:lineRule="atLeast"/>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1"/>
                <w:sz w:val="24"/>
                <w:szCs w:val="24"/>
                <w:highlight w:val="none"/>
                <w:lang w:eastAsia="zh-CN"/>
              </w:rPr>
              <w:t>双人自由自选</w:t>
            </w:r>
          </w:p>
        </w:tc>
      </w:tr>
      <w:tr w14:paraId="1ABDB8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780" w:type="dxa"/>
            <w:vMerge w:val="continue"/>
            <w:tcBorders>
              <w:top w:val="single" w:color="auto" w:sz="4" w:space="0"/>
              <w:left w:val="single" w:color="auto" w:sz="4" w:space="0"/>
              <w:bottom w:val="single" w:color="auto" w:sz="4" w:space="0"/>
              <w:right w:val="single" w:color="auto" w:sz="4" w:space="0"/>
            </w:tcBorders>
            <w:vAlign w:val="center"/>
          </w:tcPr>
          <w:p w14:paraId="6DA0D9A4">
            <w:pPr>
              <w:pStyle w:val="25"/>
              <w:keepNext w:val="0"/>
              <w:keepLines w:val="0"/>
              <w:pageBreakBefore w:val="0"/>
              <w:widowControl w:val="0"/>
              <w:kinsoku/>
              <w:wordWrap/>
              <w:overflowPunct/>
              <w:topLinePunct w:val="0"/>
              <w:autoSpaceDE/>
              <w:autoSpaceDN/>
              <w:bidi w:val="0"/>
              <w:adjustRightInd w:val="0"/>
              <w:snapToGrid w:val="0"/>
              <w:spacing w:line="0" w:lineRule="atLeast"/>
              <w:jc w:val="center"/>
              <w:textAlignment w:val="auto"/>
              <w:rPr>
                <w:rFonts w:hint="eastAsia" w:ascii="仿宋" w:hAnsi="仿宋" w:eastAsia="仿宋" w:cs="仿宋"/>
                <w:color w:val="auto"/>
                <w:sz w:val="24"/>
                <w:szCs w:val="24"/>
                <w:highlight w:val="none"/>
              </w:rPr>
            </w:pPr>
          </w:p>
        </w:tc>
        <w:tc>
          <w:tcPr>
            <w:tcW w:w="2155" w:type="dxa"/>
            <w:vMerge w:val="continue"/>
            <w:tcBorders>
              <w:top w:val="single" w:color="auto" w:sz="4" w:space="0"/>
              <w:left w:val="single" w:color="auto" w:sz="4" w:space="0"/>
              <w:bottom w:val="single" w:color="auto" w:sz="4" w:space="0"/>
              <w:right w:val="single" w:color="auto" w:sz="4" w:space="0"/>
            </w:tcBorders>
            <w:vAlign w:val="center"/>
          </w:tcPr>
          <w:p w14:paraId="4ECA5FA3">
            <w:pPr>
              <w:pStyle w:val="25"/>
              <w:keepNext w:val="0"/>
              <w:keepLines w:val="0"/>
              <w:pageBreakBefore w:val="0"/>
              <w:widowControl w:val="0"/>
              <w:kinsoku/>
              <w:wordWrap/>
              <w:overflowPunct/>
              <w:topLinePunct w:val="0"/>
              <w:autoSpaceDE/>
              <w:autoSpaceDN/>
              <w:bidi w:val="0"/>
              <w:adjustRightInd w:val="0"/>
              <w:snapToGrid w:val="0"/>
              <w:spacing w:line="0" w:lineRule="atLeast"/>
              <w:ind w:left="8" w:leftChars="4"/>
              <w:jc w:val="center"/>
              <w:textAlignment w:val="auto"/>
              <w:rPr>
                <w:rFonts w:hint="eastAsia" w:ascii="仿宋" w:hAnsi="仿宋" w:eastAsia="仿宋" w:cs="仿宋"/>
                <w:color w:val="auto"/>
                <w:sz w:val="24"/>
                <w:szCs w:val="24"/>
                <w:highlight w:val="none"/>
              </w:rPr>
            </w:pPr>
          </w:p>
        </w:tc>
        <w:tc>
          <w:tcPr>
            <w:tcW w:w="994" w:type="dxa"/>
            <w:vMerge w:val="continue"/>
            <w:tcBorders>
              <w:top w:val="single" w:color="auto" w:sz="4" w:space="0"/>
              <w:left w:val="single" w:color="auto" w:sz="4" w:space="0"/>
              <w:bottom w:val="single" w:color="auto" w:sz="4" w:space="0"/>
              <w:right w:val="single" w:color="auto" w:sz="4" w:space="0"/>
            </w:tcBorders>
            <w:vAlign w:val="center"/>
          </w:tcPr>
          <w:p w14:paraId="44C3E22E">
            <w:pPr>
              <w:pStyle w:val="25"/>
              <w:keepNext w:val="0"/>
              <w:keepLines w:val="0"/>
              <w:pageBreakBefore w:val="0"/>
              <w:widowControl w:val="0"/>
              <w:kinsoku/>
              <w:wordWrap/>
              <w:overflowPunct/>
              <w:topLinePunct w:val="0"/>
              <w:autoSpaceDE/>
              <w:autoSpaceDN/>
              <w:bidi w:val="0"/>
              <w:adjustRightInd w:val="0"/>
              <w:snapToGrid w:val="0"/>
              <w:spacing w:line="0" w:lineRule="atLeast"/>
              <w:ind w:left="21" w:leftChars="10"/>
              <w:jc w:val="center"/>
              <w:textAlignment w:val="auto"/>
              <w:rPr>
                <w:rFonts w:hint="eastAsia" w:ascii="仿宋" w:hAnsi="仿宋" w:eastAsia="仿宋" w:cs="仿宋"/>
                <w:color w:val="auto"/>
                <w:sz w:val="24"/>
                <w:szCs w:val="24"/>
                <w:highlight w:val="none"/>
              </w:rPr>
            </w:pPr>
          </w:p>
        </w:tc>
        <w:tc>
          <w:tcPr>
            <w:tcW w:w="5506" w:type="dxa"/>
            <w:gridSpan w:val="2"/>
            <w:tcBorders>
              <w:top w:val="single" w:color="auto" w:sz="4" w:space="0"/>
              <w:left w:val="single" w:color="auto" w:sz="4" w:space="0"/>
              <w:bottom w:val="single" w:color="auto" w:sz="4" w:space="0"/>
              <w:right w:val="single" w:color="auto" w:sz="4" w:space="0"/>
            </w:tcBorders>
            <w:vAlign w:val="center"/>
          </w:tcPr>
          <w:p w14:paraId="29C8E31E">
            <w:pPr>
              <w:keepNext w:val="0"/>
              <w:keepLines w:val="0"/>
              <w:pageBreakBefore w:val="0"/>
              <w:widowControl w:val="0"/>
              <w:kinsoku/>
              <w:wordWrap/>
              <w:overflowPunct/>
              <w:topLinePunct w:val="0"/>
              <w:autoSpaceDE/>
              <w:autoSpaceDN/>
              <w:bidi w:val="0"/>
              <w:adjustRightInd w:val="0"/>
              <w:snapToGrid w:val="0"/>
              <w:spacing w:before="105" w:line="0" w:lineRule="atLeast"/>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1"/>
                <w:sz w:val="24"/>
                <w:szCs w:val="24"/>
                <w:highlight w:val="none"/>
                <w:lang w:eastAsia="zh-CN"/>
              </w:rPr>
              <w:t>混合双人自由自选、集体自由自选</w:t>
            </w:r>
          </w:p>
        </w:tc>
      </w:tr>
      <w:tr w14:paraId="10461D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54" w:hRule="atLeast"/>
        </w:trPr>
        <w:tc>
          <w:tcPr>
            <w:tcW w:w="780" w:type="dxa"/>
            <w:tcBorders>
              <w:top w:val="single" w:color="auto" w:sz="4" w:space="0"/>
              <w:left w:val="single" w:color="auto" w:sz="4" w:space="0"/>
              <w:bottom w:val="single" w:color="auto" w:sz="4" w:space="0"/>
              <w:right w:val="single" w:color="auto" w:sz="4" w:space="0"/>
            </w:tcBorders>
            <w:vAlign w:val="center"/>
          </w:tcPr>
          <w:p w14:paraId="7B61FF29">
            <w:pPr>
              <w:keepNext w:val="0"/>
              <w:keepLines w:val="0"/>
              <w:pageBreakBefore w:val="0"/>
              <w:widowControl w:val="0"/>
              <w:kinsoku/>
              <w:wordWrap/>
              <w:overflowPunct/>
              <w:topLinePunct w:val="0"/>
              <w:autoSpaceDE/>
              <w:autoSpaceDN/>
              <w:bidi w:val="0"/>
              <w:adjustRightInd w:val="0"/>
              <w:snapToGrid w:val="0"/>
              <w:spacing w:line="0" w:lineRule="atLeast"/>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B</w:t>
            </w:r>
          </w:p>
        </w:tc>
        <w:tc>
          <w:tcPr>
            <w:tcW w:w="2155" w:type="dxa"/>
            <w:tcBorders>
              <w:top w:val="single" w:color="auto" w:sz="4" w:space="0"/>
              <w:left w:val="single" w:color="auto" w:sz="4" w:space="0"/>
              <w:bottom w:val="single" w:color="auto" w:sz="4" w:space="0"/>
              <w:right w:val="single" w:color="auto" w:sz="4" w:space="0"/>
            </w:tcBorders>
            <w:vAlign w:val="center"/>
          </w:tcPr>
          <w:p w14:paraId="7986CAF1">
            <w:pPr>
              <w:keepNext w:val="0"/>
              <w:keepLines w:val="0"/>
              <w:pageBreakBefore w:val="0"/>
              <w:widowControl w:val="0"/>
              <w:kinsoku/>
              <w:wordWrap/>
              <w:overflowPunct/>
              <w:topLinePunct w:val="0"/>
              <w:autoSpaceDE/>
              <w:autoSpaceDN/>
              <w:bidi w:val="0"/>
              <w:adjustRightInd w:val="0"/>
              <w:snapToGrid w:val="0"/>
              <w:spacing w:line="0" w:lineRule="atLeast"/>
              <w:ind w:left="8" w:leftChars="4"/>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1"/>
                <w:sz w:val="24"/>
                <w:szCs w:val="24"/>
                <w:highlight w:val="none"/>
              </w:rPr>
              <w:t>14.1.1-19.12.31</w:t>
            </w:r>
          </w:p>
        </w:tc>
        <w:tc>
          <w:tcPr>
            <w:tcW w:w="994" w:type="dxa"/>
            <w:tcBorders>
              <w:top w:val="single" w:color="auto" w:sz="4" w:space="0"/>
              <w:left w:val="single" w:color="auto" w:sz="4" w:space="0"/>
              <w:bottom w:val="single" w:color="auto" w:sz="4" w:space="0"/>
              <w:right w:val="single" w:color="auto" w:sz="4" w:space="0"/>
            </w:tcBorders>
            <w:vAlign w:val="center"/>
          </w:tcPr>
          <w:p w14:paraId="432473EA">
            <w:pPr>
              <w:keepNext w:val="0"/>
              <w:keepLines w:val="0"/>
              <w:pageBreakBefore w:val="0"/>
              <w:widowControl w:val="0"/>
              <w:kinsoku/>
              <w:wordWrap/>
              <w:overflowPunct/>
              <w:topLinePunct w:val="0"/>
              <w:autoSpaceDE/>
              <w:autoSpaceDN/>
              <w:bidi w:val="0"/>
              <w:adjustRightInd w:val="0"/>
              <w:snapToGrid w:val="0"/>
              <w:spacing w:line="0" w:lineRule="atLeast"/>
              <w:ind w:left="21" w:leftChars="1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5506" w:type="dxa"/>
            <w:gridSpan w:val="2"/>
            <w:tcBorders>
              <w:top w:val="single" w:color="auto" w:sz="4" w:space="0"/>
              <w:left w:val="single" w:color="auto" w:sz="4" w:space="0"/>
              <w:bottom w:val="single" w:color="auto" w:sz="4" w:space="0"/>
              <w:right w:val="single" w:color="auto" w:sz="4" w:space="0"/>
            </w:tcBorders>
            <w:vAlign w:val="center"/>
          </w:tcPr>
          <w:p w14:paraId="5F0CFCAB">
            <w:pPr>
              <w:keepNext w:val="0"/>
              <w:keepLines w:val="0"/>
              <w:pageBreakBefore w:val="0"/>
              <w:widowControl w:val="0"/>
              <w:kinsoku/>
              <w:wordWrap/>
              <w:overflowPunct/>
              <w:topLinePunct w:val="0"/>
              <w:autoSpaceDE/>
              <w:autoSpaceDN/>
              <w:bidi w:val="0"/>
              <w:adjustRightInd w:val="0"/>
              <w:snapToGrid w:val="0"/>
              <w:spacing w:before="105" w:line="0" w:lineRule="atLeast"/>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1"/>
                <w:sz w:val="24"/>
                <w:szCs w:val="24"/>
                <w:highlight w:val="none"/>
                <w:lang w:eastAsia="zh-CN"/>
              </w:rPr>
              <w:t>单人项目、集体项目、双人（混双）项目、全能项目</w:t>
            </w:r>
          </w:p>
        </w:tc>
      </w:tr>
      <w:tr w14:paraId="473310C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82" w:hRule="atLeast"/>
        </w:trPr>
        <w:tc>
          <w:tcPr>
            <w:tcW w:w="780" w:type="dxa"/>
            <w:tcBorders>
              <w:top w:val="single" w:color="auto" w:sz="4" w:space="0"/>
              <w:left w:val="single" w:color="auto" w:sz="4" w:space="0"/>
              <w:bottom w:val="single" w:color="auto" w:sz="4" w:space="0"/>
              <w:right w:val="single" w:color="auto" w:sz="4" w:space="0"/>
            </w:tcBorders>
            <w:vAlign w:val="center"/>
          </w:tcPr>
          <w:p w14:paraId="6CE34306">
            <w:pPr>
              <w:keepNext w:val="0"/>
              <w:keepLines w:val="0"/>
              <w:pageBreakBefore w:val="0"/>
              <w:widowControl w:val="0"/>
              <w:kinsoku/>
              <w:wordWrap/>
              <w:overflowPunct/>
              <w:topLinePunct w:val="0"/>
              <w:autoSpaceDE/>
              <w:autoSpaceDN/>
              <w:bidi w:val="0"/>
              <w:adjustRightInd w:val="0"/>
              <w:snapToGrid w:val="0"/>
              <w:spacing w:line="0" w:lineRule="atLeast"/>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1"/>
                <w:sz w:val="24"/>
                <w:szCs w:val="24"/>
                <w:highlight w:val="none"/>
              </w:rPr>
              <w:t>AB</w:t>
            </w:r>
          </w:p>
        </w:tc>
        <w:tc>
          <w:tcPr>
            <w:tcW w:w="2155" w:type="dxa"/>
            <w:tcBorders>
              <w:top w:val="single" w:color="auto" w:sz="4" w:space="0"/>
              <w:left w:val="single" w:color="auto" w:sz="4" w:space="0"/>
              <w:bottom w:val="single" w:color="auto" w:sz="4" w:space="0"/>
              <w:right w:val="single" w:color="auto" w:sz="4" w:space="0"/>
            </w:tcBorders>
            <w:vAlign w:val="center"/>
          </w:tcPr>
          <w:p w14:paraId="658F1D03">
            <w:pPr>
              <w:keepNext w:val="0"/>
              <w:keepLines w:val="0"/>
              <w:pageBreakBefore w:val="0"/>
              <w:widowControl w:val="0"/>
              <w:kinsoku/>
              <w:wordWrap/>
              <w:overflowPunct/>
              <w:topLinePunct w:val="0"/>
              <w:autoSpaceDE/>
              <w:autoSpaceDN/>
              <w:bidi w:val="0"/>
              <w:adjustRightInd w:val="0"/>
              <w:snapToGrid w:val="0"/>
              <w:spacing w:line="0" w:lineRule="atLeast"/>
              <w:ind w:left="8" w:leftChars="4"/>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08.9.1-19.12.31</w:t>
            </w:r>
          </w:p>
        </w:tc>
        <w:tc>
          <w:tcPr>
            <w:tcW w:w="994" w:type="dxa"/>
            <w:tcBorders>
              <w:top w:val="single" w:color="auto" w:sz="4" w:space="0"/>
              <w:left w:val="single" w:color="auto" w:sz="4" w:space="0"/>
              <w:bottom w:val="single" w:color="auto" w:sz="4" w:space="0"/>
              <w:right w:val="single" w:color="auto" w:sz="4" w:space="0"/>
            </w:tcBorders>
            <w:vAlign w:val="center"/>
          </w:tcPr>
          <w:p w14:paraId="3E58E238">
            <w:pPr>
              <w:keepNext w:val="0"/>
              <w:keepLines w:val="0"/>
              <w:pageBreakBefore w:val="0"/>
              <w:widowControl w:val="0"/>
              <w:kinsoku/>
              <w:wordWrap/>
              <w:overflowPunct/>
              <w:topLinePunct w:val="0"/>
              <w:autoSpaceDE/>
              <w:autoSpaceDN/>
              <w:bidi w:val="0"/>
              <w:adjustRightInd w:val="0"/>
              <w:snapToGrid w:val="0"/>
              <w:spacing w:line="0" w:lineRule="atLeast"/>
              <w:ind w:left="21" w:leftChars="1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5506" w:type="dxa"/>
            <w:gridSpan w:val="2"/>
            <w:tcBorders>
              <w:top w:val="single" w:color="auto" w:sz="4" w:space="0"/>
              <w:left w:val="single" w:color="auto" w:sz="4" w:space="0"/>
              <w:bottom w:val="single" w:color="auto" w:sz="4" w:space="0"/>
              <w:right w:val="single" w:color="auto" w:sz="4" w:space="0"/>
            </w:tcBorders>
            <w:vAlign w:val="center"/>
          </w:tcPr>
          <w:p w14:paraId="72EB47EC">
            <w:pPr>
              <w:keepNext w:val="0"/>
              <w:keepLines w:val="0"/>
              <w:pageBreakBefore w:val="0"/>
              <w:widowControl w:val="0"/>
              <w:kinsoku/>
              <w:wordWrap/>
              <w:overflowPunct/>
              <w:topLinePunct w:val="0"/>
              <w:autoSpaceDE/>
              <w:autoSpaceDN/>
              <w:bidi w:val="0"/>
              <w:adjustRightInd w:val="0"/>
              <w:snapToGrid w:val="0"/>
              <w:spacing w:before="107" w:line="0" w:lineRule="atLeast"/>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10"/>
                <w:sz w:val="24"/>
                <w:szCs w:val="24"/>
                <w:highlight w:val="none"/>
              </w:rPr>
              <w:t>自由组合</w:t>
            </w:r>
          </w:p>
        </w:tc>
      </w:tr>
    </w:tbl>
    <w:p w14:paraId="650D4395">
      <w:pPr>
        <w:keepNext w:val="0"/>
        <w:keepLines w:val="0"/>
        <w:pageBreakBefore w:val="0"/>
        <w:widowControl w:val="0"/>
        <w:kinsoku/>
        <w:wordWrap/>
        <w:overflowPunct/>
        <w:topLinePunct w:val="0"/>
        <w:autoSpaceDE/>
        <w:autoSpaceDN/>
        <w:bidi w:val="0"/>
        <w:adjustRightInd w:val="0"/>
        <w:snapToGrid w:val="0"/>
        <w:spacing w:line="540" w:lineRule="atLeast"/>
        <w:ind w:firstLine="562" w:firstLineChars="200"/>
        <w:textAlignment w:val="auto"/>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八、参赛资格</w:t>
      </w:r>
    </w:p>
    <w:p w14:paraId="48E69F31">
      <w:pPr>
        <w:keepNext w:val="0"/>
        <w:keepLines w:val="0"/>
        <w:pageBreakBefore w:val="0"/>
        <w:widowControl w:val="0"/>
        <w:kinsoku/>
        <w:wordWrap/>
        <w:overflowPunct/>
        <w:topLinePunct w:val="0"/>
        <w:autoSpaceDE/>
        <w:autoSpaceDN/>
        <w:bidi w:val="0"/>
        <w:adjustRightInd w:val="0"/>
        <w:snapToGrid w:val="0"/>
        <w:spacing w:line="540" w:lineRule="atLeas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（一）运动员须具有中国国籍（包括港、澳、台）。运动员须经医务部门检查，证明身体健康，适合参赛。</w:t>
      </w:r>
    </w:p>
    <w:p w14:paraId="52760280">
      <w:pPr>
        <w:keepNext w:val="0"/>
        <w:keepLines w:val="0"/>
        <w:pageBreakBefore w:val="0"/>
        <w:widowControl w:val="0"/>
        <w:kinsoku/>
        <w:wordWrap/>
        <w:overflowPunct/>
        <w:topLinePunct w:val="0"/>
        <w:autoSpaceDE/>
        <w:autoSpaceDN/>
        <w:bidi w:val="0"/>
        <w:adjustRightInd w:val="0"/>
        <w:snapToGrid w:val="0"/>
        <w:spacing w:line="540" w:lineRule="atLeas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（二）每名运动员只能代表一个单位（代表团）参赛；运动员不得跨越组别参赛。</w:t>
      </w:r>
    </w:p>
    <w:p w14:paraId="0AA64532">
      <w:pPr>
        <w:keepNext w:val="0"/>
        <w:keepLines w:val="0"/>
        <w:pageBreakBefore w:val="0"/>
        <w:widowControl w:val="0"/>
        <w:kinsoku/>
        <w:wordWrap/>
        <w:overflowPunct/>
        <w:topLinePunct w:val="0"/>
        <w:autoSpaceDE/>
        <w:autoSpaceDN/>
        <w:bidi w:val="0"/>
        <w:adjustRightInd w:val="0"/>
        <w:snapToGrid w:val="0"/>
        <w:spacing w:line="540" w:lineRule="atLeast"/>
        <w:ind w:firstLine="560" w:firstLineChars="200"/>
        <w:textAlignment w:val="auto"/>
        <w:rPr>
          <w:rFonts w:hint="eastAsia" w:ascii="仿宋" w:hAnsi="仿宋" w:eastAsia="仿宋" w:cs="仿宋"/>
          <w:color w:val="auto"/>
          <w:sz w:val="28"/>
          <w:szCs w:val="28"/>
          <w:highlight w:val="none"/>
        </w:rPr>
      </w:pPr>
      <w:bookmarkStart w:id="0" w:name="_Hlk94972236"/>
      <w:r>
        <w:rPr>
          <w:rFonts w:hint="eastAsia" w:ascii="仿宋" w:hAnsi="仿宋" w:eastAsia="仿宋" w:cs="仿宋"/>
          <w:color w:val="auto"/>
          <w:sz w:val="28"/>
          <w:szCs w:val="28"/>
          <w:highlight w:val="none"/>
        </w:rPr>
        <w:t>（三）参赛运动员必须是202</w:t>
      </w: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年在本市有效注册的青少年运动员，并持本人当年有效的《上海市青少年运动员注册卡》参赛。</w:t>
      </w:r>
      <w:bookmarkEnd w:id="0"/>
    </w:p>
    <w:p w14:paraId="154D3B6A">
      <w:pPr>
        <w:keepNext w:val="0"/>
        <w:keepLines w:val="0"/>
        <w:pageBreakBefore w:val="0"/>
        <w:widowControl w:val="0"/>
        <w:kinsoku/>
        <w:wordWrap/>
        <w:overflowPunct/>
        <w:topLinePunct w:val="0"/>
        <w:autoSpaceDE/>
        <w:autoSpaceDN/>
        <w:bidi w:val="0"/>
        <w:adjustRightInd w:val="0"/>
        <w:snapToGrid w:val="0"/>
        <w:spacing w:line="540" w:lineRule="atLeast"/>
        <w:ind w:firstLine="560" w:firstLineChars="200"/>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（四）参赛运动员</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A组除外）</w:t>
      </w:r>
      <w:r>
        <w:rPr>
          <w:rFonts w:hint="eastAsia" w:ascii="仿宋" w:hAnsi="仿宋" w:eastAsia="仿宋" w:cs="仿宋"/>
          <w:color w:val="auto"/>
          <w:sz w:val="28"/>
          <w:szCs w:val="28"/>
          <w:highlight w:val="none"/>
        </w:rPr>
        <w:t>须达到202</w:t>
      </w: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年上海市</w:t>
      </w:r>
      <w:r>
        <w:rPr>
          <w:rFonts w:hint="eastAsia" w:ascii="仿宋" w:hAnsi="仿宋" w:eastAsia="仿宋" w:cs="仿宋"/>
          <w:color w:val="auto"/>
          <w:sz w:val="28"/>
          <w:szCs w:val="28"/>
          <w:highlight w:val="none"/>
          <w:lang w:val="en-US" w:eastAsia="zh-CN"/>
        </w:rPr>
        <w:t>花样游泳</w:t>
      </w:r>
      <w:r>
        <w:rPr>
          <w:rFonts w:hint="eastAsia" w:ascii="仿宋" w:hAnsi="仿宋" w:eastAsia="仿宋" w:cs="仿宋"/>
          <w:color w:val="auto"/>
          <w:sz w:val="28"/>
          <w:szCs w:val="28"/>
          <w:highlight w:val="none"/>
        </w:rPr>
        <w:t>二线体能测试赛准入标准分（</w:t>
      </w:r>
      <w:r>
        <w:rPr>
          <w:rFonts w:hint="eastAsia" w:ascii="仿宋" w:hAnsi="仿宋" w:eastAsia="仿宋" w:cs="仿宋"/>
          <w:color w:val="auto"/>
          <w:sz w:val="28"/>
          <w:szCs w:val="28"/>
          <w:highlight w:val="none"/>
          <w:lang w:val="en-US" w:eastAsia="zh-CN"/>
        </w:rPr>
        <w:t>30</w:t>
      </w:r>
      <w:r>
        <w:rPr>
          <w:rFonts w:hint="eastAsia" w:ascii="仿宋" w:hAnsi="仿宋" w:eastAsia="仿宋" w:cs="仿宋"/>
          <w:color w:val="auto"/>
          <w:sz w:val="28"/>
          <w:szCs w:val="28"/>
          <w:highlight w:val="none"/>
        </w:rPr>
        <w:t>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且必须参加规定动作比赛，</w:t>
      </w:r>
      <w:r>
        <w:rPr>
          <w:rFonts w:hint="eastAsia" w:ascii="仿宋" w:hAnsi="仿宋" w:eastAsia="仿宋" w:cs="仿宋"/>
          <w:color w:val="auto"/>
          <w:sz w:val="28"/>
          <w:szCs w:val="28"/>
          <w:highlight w:val="none"/>
        </w:rPr>
        <w:t>方可参赛。</w:t>
      </w:r>
    </w:p>
    <w:p w14:paraId="4EED1851">
      <w:pPr>
        <w:keepNext w:val="0"/>
        <w:keepLines w:val="0"/>
        <w:pageBreakBefore w:val="0"/>
        <w:widowControl w:val="0"/>
        <w:kinsoku/>
        <w:wordWrap/>
        <w:overflowPunct/>
        <w:topLinePunct w:val="0"/>
        <w:autoSpaceDE/>
        <w:autoSpaceDN/>
        <w:bidi w:val="0"/>
        <w:adjustRightInd w:val="0"/>
        <w:snapToGrid w:val="0"/>
        <w:spacing w:line="540" w:lineRule="atLeas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五）按照市体育局《上海市体育后备人才输送认定办法》（沪体青〔2023〕72号），已被认定为向一线输送或等同于向一线输送的运动员均不得参加本届运动会。上述运动员的认定以本届运动会第二次报名前市体育局、市人力资源社会保障局有关文件及相关证明材料为准。</w:t>
      </w:r>
    </w:p>
    <w:p w14:paraId="78CAA7D9">
      <w:pPr>
        <w:keepNext w:val="0"/>
        <w:keepLines w:val="0"/>
        <w:pageBreakBefore w:val="0"/>
        <w:widowControl w:val="0"/>
        <w:kinsoku/>
        <w:wordWrap/>
        <w:overflowPunct/>
        <w:topLinePunct w:val="0"/>
        <w:autoSpaceDE/>
        <w:autoSpaceDN/>
        <w:bidi w:val="0"/>
        <w:adjustRightInd w:val="0"/>
        <w:snapToGrid w:val="0"/>
        <w:spacing w:line="540" w:lineRule="atLeas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（六）2026年已在外省市注册或代表外省市在国家体育总局注册的运动员不得参加比赛，经上海市体育局批准同意交流至外省市的运动员除外。</w:t>
      </w:r>
    </w:p>
    <w:p w14:paraId="11963A87">
      <w:pPr>
        <w:keepNext w:val="0"/>
        <w:keepLines w:val="0"/>
        <w:pageBreakBefore w:val="0"/>
        <w:widowControl w:val="0"/>
        <w:numPr>
          <w:ilvl w:val="255"/>
          <w:numId w:val="0"/>
        </w:numPr>
        <w:kinsoku/>
        <w:wordWrap/>
        <w:overflowPunct/>
        <w:topLinePunct w:val="0"/>
        <w:autoSpaceDE/>
        <w:autoSpaceDN/>
        <w:bidi w:val="0"/>
        <w:adjustRightInd w:val="0"/>
        <w:snapToGrid w:val="0"/>
        <w:spacing w:line="540" w:lineRule="atLeast"/>
        <w:ind w:firstLine="544" w:firstLineChars="200"/>
        <w:textAlignment w:val="auto"/>
        <w:rPr>
          <w:rFonts w:ascii="仿宋" w:hAnsi="仿宋" w:eastAsia="仿宋" w:cs="仿宋"/>
          <w:color w:val="auto"/>
          <w:spacing w:val="-4"/>
          <w:sz w:val="28"/>
          <w:szCs w:val="28"/>
          <w:highlight w:val="none"/>
        </w:rPr>
      </w:pPr>
      <w:r>
        <w:rPr>
          <w:rFonts w:hint="eastAsia" w:ascii="仿宋" w:hAnsi="仿宋" w:eastAsia="仿宋" w:cs="仿宋"/>
          <w:color w:val="auto"/>
          <w:spacing w:val="-4"/>
          <w:sz w:val="28"/>
          <w:szCs w:val="28"/>
          <w:highlight w:val="none"/>
        </w:rPr>
        <w:t>（七）本市市属青少年高水平运动队在编运动员代表注册单位参赛。</w:t>
      </w:r>
    </w:p>
    <w:p w14:paraId="4B5008E9">
      <w:pPr>
        <w:keepNext w:val="0"/>
        <w:keepLines w:val="0"/>
        <w:pageBreakBefore w:val="0"/>
        <w:widowControl w:val="0"/>
        <w:numPr>
          <w:ilvl w:val="255"/>
          <w:numId w:val="0"/>
        </w:numPr>
        <w:kinsoku/>
        <w:wordWrap/>
        <w:overflowPunct/>
        <w:topLinePunct w:val="0"/>
        <w:autoSpaceDE/>
        <w:autoSpaceDN/>
        <w:bidi w:val="0"/>
        <w:adjustRightInd w:val="0"/>
        <w:snapToGrid w:val="0"/>
        <w:spacing w:line="540" w:lineRule="atLeast"/>
        <w:ind w:firstLine="544" w:firstLineChars="200"/>
        <w:textAlignment w:val="auto"/>
        <w:rPr>
          <w:rFonts w:ascii="仿宋" w:hAnsi="仿宋" w:eastAsia="仿宋" w:cs="仿宋"/>
          <w:color w:val="auto"/>
          <w:spacing w:val="-4"/>
          <w:sz w:val="28"/>
          <w:szCs w:val="28"/>
          <w:highlight w:val="none"/>
        </w:rPr>
      </w:pPr>
      <w:r>
        <w:rPr>
          <w:rFonts w:hint="eastAsia" w:ascii="仿宋" w:hAnsi="仿宋" w:eastAsia="仿宋" w:cs="仿宋"/>
          <w:color w:val="auto"/>
          <w:spacing w:val="-4"/>
          <w:sz w:val="28"/>
          <w:szCs w:val="28"/>
          <w:highlight w:val="none"/>
        </w:rPr>
        <w:t>（八）</w:t>
      </w:r>
      <w:r>
        <w:rPr>
          <w:rFonts w:hint="eastAsia" w:ascii="仿宋" w:hAnsi="仿宋" w:eastAsia="仿宋" w:cs="仿宋"/>
          <w:color w:val="auto"/>
          <w:sz w:val="28"/>
          <w:szCs w:val="28"/>
          <w:highlight w:val="none"/>
        </w:rPr>
        <w:t>经市教委、市体育局共同认定的上海市高中阶段学校引进优秀体育学生，于2026年7月10日前办理注册手续的，可直接参加本届运动会。</w:t>
      </w:r>
    </w:p>
    <w:p w14:paraId="6A273CE8">
      <w:pPr>
        <w:keepNext w:val="0"/>
        <w:keepLines w:val="0"/>
        <w:pageBreakBefore w:val="0"/>
        <w:widowControl w:val="0"/>
        <w:kinsoku/>
        <w:wordWrap/>
        <w:overflowPunct/>
        <w:topLinePunct w:val="0"/>
        <w:autoSpaceDE/>
        <w:autoSpaceDN/>
        <w:bidi w:val="0"/>
        <w:adjustRightInd w:val="0"/>
        <w:snapToGrid w:val="0"/>
        <w:spacing w:line="540" w:lineRule="atLeast"/>
        <w:ind w:firstLine="562" w:firstLineChars="200"/>
        <w:textAlignment w:val="auto"/>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九、参加办法（参赛办法、报名办法）</w:t>
      </w:r>
    </w:p>
    <w:p w14:paraId="23119D08">
      <w:pPr>
        <w:keepNext w:val="0"/>
        <w:keepLines w:val="0"/>
        <w:pageBreakBefore w:val="0"/>
        <w:widowControl w:val="0"/>
        <w:kinsoku/>
        <w:wordWrap/>
        <w:overflowPunct/>
        <w:topLinePunct w:val="0"/>
        <w:autoSpaceDE/>
        <w:autoSpaceDN/>
        <w:bidi w:val="0"/>
        <w:adjustRightInd w:val="0"/>
        <w:snapToGrid w:val="0"/>
        <w:spacing w:line="540" w:lineRule="atLeast"/>
        <w:ind w:firstLine="564"/>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（一）各</w:t>
      </w:r>
      <w:r>
        <w:rPr>
          <w:rFonts w:hint="eastAsia" w:ascii="仿宋" w:hAnsi="仿宋" w:eastAsia="仿宋" w:cs="仿宋"/>
          <w:color w:val="auto"/>
          <w:sz w:val="28"/>
          <w:szCs w:val="28"/>
          <w:highlight w:val="none"/>
          <w:lang w:val="en-US" w:eastAsia="zh-CN"/>
        </w:rPr>
        <w:t>代表团可报领队1人，各组别可报教练员1-2名，</w:t>
      </w:r>
      <w:r>
        <w:rPr>
          <w:rFonts w:hint="eastAsia" w:ascii="仿宋" w:hAnsi="仿宋" w:eastAsia="仿宋" w:cs="仿宋"/>
          <w:color w:val="auto"/>
          <w:sz w:val="28"/>
          <w:szCs w:val="28"/>
          <w:highlight w:val="none"/>
        </w:rPr>
        <w:t>教练员须是2026年在本市有效注册的青训教练员</w:t>
      </w:r>
      <w:r>
        <w:rPr>
          <w:rFonts w:hint="eastAsia" w:ascii="仿宋" w:hAnsi="仿宋" w:eastAsia="仿宋" w:cs="仿宋"/>
          <w:color w:val="auto"/>
          <w:sz w:val="28"/>
          <w:szCs w:val="28"/>
          <w:highlight w:val="none"/>
          <w:lang w:val="en-US" w:eastAsia="zh-CN"/>
        </w:rPr>
        <w:t>。</w:t>
      </w:r>
    </w:p>
    <w:p w14:paraId="7C90FC95">
      <w:pPr>
        <w:keepNext w:val="0"/>
        <w:keepLines w:val="0"/>
        <w:pageBreakBefore w:val="0"/>
        <w:widowControl w:val="0"/>
        <w:kinsoku/>
        <w:wordWrap/>
        <w:overflowPunct/>
        <w:topLinePunct w:val="0"/>
        <w:autoSpaceDE/>
        <w:autoSpaceDN/>
        <w:bidi w:val="0"/>
        <w:adjustRightInd w:val="0"/>
        <w:snapToGrid w:val="0"/>
        <w:spacing w:line="540" w:lineRule="atLeast"/>
        <w:ind w:firstLine="564"/>
        <w:textAlignment w:val="auto"/>
        <w:rPr>
          <w:rFonts w:hint="eastAsia" w:ascii="仿宋" w:hAnsi="仿宋" w:eastAsia="仿宋" w:cs="仿宋"/>
          <w:color w:val="auto"/>
          <w:sz w:val="28"/>
          <w:szCs w:val="28"/>
          <w:highlight w:val="none"/>
          <w:lang w:eastAsia="zh-Hans"/>
        </w:rPr>
      </w:pPr>
      <w:r>
        <w:rPr>
          <w:rFonts w:hint="eastAsia" w:ascii="仿宋" w:hAnsi="仿宋" w:eastAsia="仿宋" w:cs="仿宋"/>
          <w:color w:val="auto"/>
          <w:sz w:val="28"/>
          <w:szCs w:val="28"/>
          <w:highlight w:val="none"/>
        </w:rPr>
        <w:t>（二）</w:t>
      </w:r>
      <w:r>
        <w:rPr>
          <w:rFonts w:hint="eastAsia" w:ascii="仿宋" w:hAnsi="仿宋" w:eastAsia="仿宋" w:cs="仿宋"/>
          <w:color w:val="auto"/>
          <w:sz w:val="28"/>
          <w:szCs w:val="28"/>
          <w:highlight w:val="none"/>
          <w:lang w:val="en-US" w:eastAsia="zh-Hans"/>
        </w:rPr>
        <w:t>运动员报名</w:t>
      </w:r>
      <w:r>
        <w:rPr>
          <w:rFonts w:hint="eastAsia" w:ascii="仿宋" w:hAnsi="仿宋" w:eastAsia="仿宋" w:cs="仿宋"/>
          <w:color w:val="auto"/>
          <w:sz w:val="28"/>
          <w:szCs w:val="28"/>
          <w:highlight w:val="none"/>
          <w:lang w:eastAsia="zh-Hans"/>
        </w:rPr>
        <w:t>报项说明</w:t>
      </w:r>
    </w:p>
    <w:p w14:paraId="5B5494E1">
      <w:pPr>
        <w:keepNext w:val="0"/>
        <w:keepLines w:val="0"/>
        <w:pageBreakBefore w:val="0"/>
        <w:widowControl w:val="0"/>
        <w:kinsoku/>
        <w:wordWrap/>
        <w:overflowPunct/>
        <w:topLinePunct w:val="0"/>
        <w:autoSpaceDE/>
        <w:autoSpaceDN/>
        <w:bidi w:val="0"/>
        <w:adjustRightInd w:val="0"/>
        <w:snapToGrid w:val="0"/>
        <w:spacing w:line="540" w:lineRule="atLeast"/>
        <w:ind w:firstLine="564"/>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1.单人项目</w:t>
      </w:r>
    </w:p>
    <w:p w14:paraId="13918577">
      <w:pPr>
        <w:keepNext w:val="0"/>
        <w:keepLines w:val="0"/>
        <w:pageBreakBefore w:val="0"/>
        <w:widowControl w:val="0"/>
        <w:kinsoku/>
        <w:wordWrap/>
        <w:overflowPunct/>
        <w:topLinePunct w:val="0"/>
        <w:autoSpaceDE/>
        <w:autoSpaceDN/>
        <w:bidi w:val="0"/>
        <w:adjustRightInd w:val="0"/>
        <w:snapToGrid w:val="0"/>
        <w:spacing w:line="540" w:lineRule="atLeast"/>
        <w:ind w:firstLine="564"/>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（1）A组女子单人自由自选、B组单人项目</w:t>
      </w:r>
    </w:p>
    <w:p w14:paraId="4CC7F2BE">
      <w:pPr>
        <w:keepNext w:val="0"/>
        <w:keepLines w:val="0"/>
        <w:pageBreakBefore w:val="0"/>
        <w:widowControl w:val="0"/>
        <w:kinsoku/>
        <w:wordWrap/>
        <w:overflowPunct/>
        <w:topLinePunct w:val="0"/>
        <w:autoSpaceDE/>
        <w:autoSpaceDN/>
        <w:bidi w:val="0"/>
        <w:adjustRightInd w:val="0"/>
        <w:snapToGrid w:val="0"/>
        <w:spacing w:line="540" w:lineRule="atLeast"/>
        <w:ind w:firstLine="564"/>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各代表团每项目限报1人，另可报替补1人。</w:t>
      </w:r>
    </w:p>
    <w:p w14:paraId="39D2B5C2">
      <w:pPr>
        <w:keepNext w:val="0"/>
        <w:keepLines w:val="0"/>
        <w:pageBreakBefore w:val="0"/>
        <w:widowControl w:val="0"/>
        <w:kinsoku/>
        <w:wordWrap/>
        <w:overflowPunct/>
        <w:topLinePunct w:val="0"/>
        <w:autoSpaceDE/>
        <w:autoSpaceDN/>
        <w:bidi w:val="0"/>
        <w:adjustRightInd w:val="0"/>
        <w:snapToGrid w:val="0"/>
        <w:spacing w:line="540" w:lineRule="atLeast"/>
        <w:ind w:firstLine="564"/>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（2）B组全能</w:t>
      </w:r>
    </w:p>
    <w:p w14:paraId="75F81934">
      <w:pPr>
        <w:keepNext w:val="0"/>
        <w:keepLines w:val="0"/>
        <w:pageBreakBefore w:val="0"/>
        <w:widowControl w:val="0"/>
        <w:kinsoku/>
        <w:wordWrap/>
        <w:overflowPunct/>
        <w:topLinePunct w:val="0"/>
        <w:autoSpaceDE/>
        <w:autoSpaceDN/>
        <w:bidi w:val="0"/>
        <w:adjustRightInd w:val="0"/>
        <w:snapToGrid w:val="0"/>
        <w:spacing w:line="540" w:lineRule="atLeast"/>
        <w:ind w:firstLine="564"/>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各代表团可报1-2人，不可报替补运动员。</w:t>
      </w:r>
    </w:p>
    <w:p w14:paraId="53F369BA">
      <w:pPr>
        <w:keepNext w:val="0"/>
        <w:keepLines w:val="0"/>
        <w:pageBreakBefore w:val="0"/>
        <w:widowControl w:val="0"/>
        <w:kinsoku/>
        <w:wordWrap/>
        <w:overflowPunct/>
        <w:topLinePunct w:val="0"/>
        <w:autoSpaceDE/>
        <w:autoSpaceDN/>
        <w:bidi w:val="0"/>
        <w:adjustRightInd w:val="0"/>
        <w:snapToGrid w:val="0"/>
        <w:spacing w:line="540" w:lineRule="atLeast"/>
        <w:ind w:firstLine="564"/>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2.双人项目</w:t>
      </w:r>
    </w:p>
    <w:p w14:paraId="2770799D">
      <w:pPr>
        <w:keepNext w:val="0"/>
        <w:keepLines w:val="0"/>
        <w:pageBreakBefore w:val="0"/>
        <w:widowControl w:val="0"/>
        <w:kinsoku/>
        <w:wordWrap/>
        <w:overflowPunct/>
        <w:topLinePunct w:val="0"/>
        <w:autoSpaceDE/>
        <w:autoSpaceDN/>
        <w:bidi w:val="0"/>
        <w:adjustRightInd w:val="0"/>
        <w:snapToGrid w:val="0"/>
        <w:spacing w:line="540" w:lineRule="atLeast"/>
        <w:ind w:firstLine="564"/>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（1）A组女子双人自由自选</w:t>
      </w:r>
    </w:p>
    <w:p w14:paraId="4C943EC6">
      <w:pPr>
        <w:keepNext w:val="0"/>
        <w:keepLines w:val="0"/>
        <w:pageBreakBefore w:val="0"/>
        <w:widowControl w:val="0"/>
        <w:kinsoku/>
        <w:wordWrap/>
        <w:overflowPunct/>
        <w:topLinePunct w:val="0"/>
        <w:autoSpaceDE/>
        <w:autoSpaceDN/>
        <w:bidi w:val="0"/>
        <w:adjustRightInd w:val="0"/>
        <w:snapToGrid w:val="0"/>
        <w:spacing w:line="540" w:lineRule="atLeast"/>
        <w:ind w:firstLine="564"/>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各代表团限报1对，每对2人，另可报替补1人。</w:t>
      </w:r>
    </w:p>
    <w:p w14:paraId="64EF1FBF">
      <w:pPr>
        <w:keepNext w:val="0"/>
        <w:keepLines w:val="0"/>
        <w:pageBreakBefore w:val="0"/>
        <w:widowControl w:val="0"/>
        <w:kinsoku/>
        <w:wordWrap/>
        <w:overflowPunct/>
        <w:topLinePunct w:val="0"/>
        <w:autoSpaceDE/>
        <w:autoSpaceDN/>
        <w:bidi w:val="0"/>
        <w:adjustRightInd w:val="0"/>
        <w:snapToGrid w:val="0"/>
        <w:spacing w:line="540" w:lineRule="atLeast"/>
        <w:ind w:firstLine="564"/>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（2）A组混合双人自由自选</w:t>
      </w:r>
    </w:p>
    <w:p w14:paraId="4DBB17BE">
      <w:pPr>
        <w:keepNext w:val="0"/>
        <w:keepLines w:val="0"/>
        <w:pageBreakBefore w:val="0"/>
        <w:widowControl w:val="0"/>
        <w:kinsoku/>
        <w:wordWrap/>
        <w:overflowPunct/>
        <w:topLinePunct w:val="0"/>
        <w:autoSpaceDE/>
        <w:autoSpaceDN/>
        <w:bidi w:val="0"/>
        <w:adjustRightInd w:val="0"/>
        <w:snapToGrid w:val="0"/>
        <w:spacing w:line="540" w:lineRule="atLeast"/>
        <w:ind w:firstLine="564"/>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各代表团每项目限报1对，每对2人，另</w:t>
      </w:r>
      <w:r>
        <w:rPr>
          <w:rFonts w:hint="eastAsia" w:ascii="仿宋" w:hAnsi="仿宋" w:eastAsia="仿宋" w:cs="仿宋"/>
          <w:color w:val="auto"/>
          <w:sz w:val="28"/>
          <w:szCs w:val="28"/>
          <w:highlight w:val="none"/>
        </w:rPr>
        <w:t>可报替补男、女各1人</w:t>
      </w:r>
      <w:r>
        <w:rPr>
          <w:rFonts w:hint="eastAsia" w:ascii="仿宋" w:hAnsi="仿宋" w:eastAsia="仿宋" w:cs="仿宋"/>
          <w:color w:val="auto"/>
          <w:sz w:val="28"/>
          <w:szCs w:val="28"/>
          <w:highlight w:val="none"/>
          <w:lang w:eastAsia="zh-CN"/>
        </w:rPr>
        <w:t>。</w:t>
      </w:r>
    </w:p>
    <w:p w14:paraId="1F5E7F0A">
      <w:pPr>
        <w:keepNext w:val="0"/>
        <w:keepLines w:val="0"/>
        <w:pageBreakBefore w:val="0"/>
        <w:widowControl w:val="0"/>
        <w:kinsoku/>
        <w:wordWrap/>
        <w:overflowPunct/>
        <w:topLinePunct w:val="0"/>
        <w:autoSpaceDE/>
        <w:autoSpaceDN/>
        <w:bidi w:val="0"/>
        <w:adjustRightInd w:val="0"/>
        <w:snapToGrid w:val="0"/>
        <w:spacing w:line="540" w:lineRule="atLeast"/>
        <w:ind w:firstLine="564"/>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3）B组双人（混双）项目</w:t>
      </w:r>
    </w:p>
    <w:p w14:paraId="6E27D805">
      <w:pPr>
        <w:keepNext w:val="0"/>
        <w:keepLines w:val="0"/>
        <w:pageBreakBefore w:val="0"/>
        <w:widowControl w:val="0"/>
        <w:kinsoku/>
        <w:wordWrap/>
        <w:overflowPunct/>
        <w:topLinePunct w:val="0"/>
        <w:autoSpaceDE/>
        <w:autoSpaceDN/>
        <w:bidi w:val="0"/>
        <w:adjustRightInd w:val="0"/>
        <w:snapToGrid w:val="0"/>
        <w:spacing w:line="540" w:lineRule="atLeast"/>
        <w:ind w:firstLine="564"/>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各代表团每项目限报1对，每对2人，双人可报2名女子运动员，另可报替补1人；混双可报男、女运动员各1人，另可报替补男、女各1人</w:t>
      </w:r>
      <w:r>
        <w:rPr>
          <w:rFonts w:hint="eastAsia" w:ascii="仿宋" w:hAnsi="仿宋" w:eastAsia="仿宋" w:cs="仿宋"/>
          <w:color w:val="auto"/>
          <w:sz w:val="28"/>
          <w:szCs w:val="28"/>
          <w:highlight w:val="none"/>
          <w:lang w:eastAsia="zh-CN"/>
        </w:rPr>
        <w:t>。</w:t>
      </w:r>
    </w:p>
    <w:p w14:paraId="09DAF760">
      <w:pPr>
        <w:keepNext w:val="0"/>
        <w:keepLines w:val="0"/>
        <w:pageBreakBefore w:val="0"/>
        <w:widowControl w:val="0"/>
        <w:kinsoku/>
        <w:wordWrap/>
        <w:overflowPunct/>
        <w:topLinePunct w:val="0"/>
        <w:autoSpaceDE/>
        <w:autoSpaceDN/>
        <w:bidi w:val="0"/>
        <w:adjustRightInd w:val="0"/>
        <w:snapToGrid w:val="0"/>
        <w:spacing w:line="540" w:lineRule="atLeast"/>
        <w:ind w:firstLine="564"/>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3.集体项目</w:t>
      </w:r>
    </w:p>
    <w:p w14:paraId="4B285638">
      <w:pPr>
        <w:keepNext w:val="0"/>
        <w:keepLines w:val="0"/>
        <w:pageBreakBefore w:val="0"/>
        <w:widowControl w:val="0"/>
        <w:kinsoku/>
        <w:wordWrap/>
        <w:overflowPunct/>
        <w:topLinePunct w:val="0"/>
        <w:autoSpaceDE/>
        <w:autoSpaceDN/>
        <w:bidi w:val="0"/>
        <w:adjustRightInd w:val="0"/>
        <w:snapToGrid w:val="0"/>
        <w:spacing w:line="540" w:lineRule="atLeast"/>
        <w:ind w:firstLine="564"/>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（1）A组</w:t>
      </w:r>
      <w:r>
        <w:rPr>
          <w:rFonts w:hint="eastAsia" w:ascii="仿宋" w:hAnsi="仿宋" w:eastAsia="仿宋" w:cs="仿宋"/>
          <w:color w:val="auto"/>
          <w:sz w:val="28"/>
          <w:szCs w:val="28"/>
          <w:highlight w:val="none"/>
        </w:rPr>
        <w:t>集体自由自选、</w:t>
      </w:r>
      <w:r>
        <w:rPr>
          <w:rFonts w:hint="eastAsia" w:ascii="仿宋" w:hAnsi="仿宋" w:eastAsia="仿宋" w:cs="仿宋"/>
          <w:color w:val="auto"/>
          <w:sz w:val="28"/>
          <w:szCs w:val="28"/>
          <w:highlight w:val="none"/>
          <w:lang w:val="en-US" w:eastAsia="zh-CN"/>
        </w:rPr>
        <w:t>B组</w:t>
      </w:r>
      <w:r>
        <w:rPr>
          <w:rFonts w:hint="eastAsia" w:ascii="仿宋" w:hAnsi="仿宋" w:eastAsia="仿宋" w:cs="仿宋"/>
          <w:color w:val="auto"/>
          <w:sz w:val="28"/>
          <w:szCs w:val="28"/>
          <w:highlight w:val="none"/>
        </w:rPr>
        <w:t>集体项目</w:t>
      </w:r>
    </w:p>
    <w:p w14:paraId="4D506235">
      <w:pPr>
        <w:keepNext w:val="0"/>
        <w:keepLines w:val="0"/>
        <w:pageBreakBefore w:val="0"/>
        <w:widowControl w:val="0"/>
        <w:kinsoku/>
        <w:wordWrap/>
        <w:overflowPunct/>
        <w:topLinePunct w:val="0"/>
        <w:autoSpaceDE/>
        <w:autoSpaceDN/>
        <w:bidi w:val="0"/>
        <w:adjustRightInd w:val="0"/>
        <w:snapToGrid w:val="0"/>
        <w:spacing w:line="540" w:lineRule="atLeast"/>
        <w:ind w:firstLine="564"/>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各代表团每项目1队，</w:t>
      </w:r>
      <w:r>
        <w:rPr>
          <w:rFonts w:hint="eastAsia" w:ascii="仿宋" w:hAnsi="仿宋" w:eastAsia="仿宋" w:cs="仿宋"/>
          <w:color w:val="auto"/>
          <w:sz w:val="28"/>
          <w:szCs w:val="28"/>
          <w:highlight w:val="none"/>
        </w:rPr>
        <w:t>每队</w:t>
      </w:r>
      <w:r>
        <w:rPr>
          <w:rFonts w:hint="eastAsia" w:ascii="仿宋" w:hAnsi="仿宋" w:eastAsia="仿宋" w:cs="仿宋"/>
          <w:color w:val="auto"/>
          <w:sz w:val="28"/>
          <w:szCs w:val="28"/>
          <w:highlight w:val="none"/>
          <w:lang w:val="en-US" w:eastAsia="zh-CN"/>
        </w:rPr>
        <w:t>可报</w:t>
      </w: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val="en-US" w:eastAsia="zh-CN"/>
        </w:rPr>
        <w:t>-8人</w:t>
      </w:r>
      <w:r>
        <w:rPr>
          <w:rFonts w:hint="eastAsia" w:ascii="仿宋" w:hAnsi="仿宋" w:eastAsia="仿宋" w:cs="仿宋"/>
          <w:color w:val="auto"/>
          <w:sz w:val="28"/>
          <w:szCs w:val="28"/>
          <w:highlight w:val="none"/>
          <w:lang w:eastAsia="zh-Hans"/>
        </w:rPr>
        <w:t>，</w:t>
      </w:r>
      <w:r>
        <w:rPr>
          <w:rFonts w:hint="eastAsia" w:ascii="仿宋" w:hAnsi="仿宋" w:eastAsia="仿宋" w:cs="仿宋"/>
          <w:color w:val="auto"/>
          <w:sz w:val="28"/>
          <w:szCs w:val="28"/>
          <w:highlight w:val="none"/>
          <w:lang w:val="en-US" w:eastAsia="zh-CN"/>
        </w:rPr>
        <w:t>另可报替补2人。其中</w:t>
      </w:r>
      <w:r>
        <w:rPr>
          <w:rFonts w:hint="eastAsia" w:ascii="仿宋" w:hAnsi="仿宋" w:eastAsia="仿宋" w:cs="仿宋"/>
          <w:color w:val="auto"/>
          <w:sz w:val="28"/>
          <w:szCs w:val="28"/>
          <w:highlight w:val="none"/>
          <w:lang w:val="en-US" w:eastAsia="zh-Hans"/>
        </w:rPr>
        <w:t>男运动员最多可</w:t>
      </w:r>
      <w:r>
        <w:rPr>
          <w:rFonts w:hint="eastAsia" w:ascii="仿宋" w:hAnsi="仿宋" w:eastAsia="仿宋" w:cs="仿宋"/>
          <w:color w:val="auto"/>
          <w:sz w:val="28"/>
          <w:szCs w:val="28"/>
          <w:highlight w:val="none"/>
          <w:lang w:val="en-US" w:eastAsia="zh-CN"/>
        </w:rPr>
        <w:t>报2人。</w:t>
      </w:r>
    </w:p>
    <w:p w14:paraId="29B332DE">
      <w:pPr>
        <w:keepNext w:val="0"/>
        <w:keepLines w:val="0"/>
        <w:pageBreakBefore w:val="0"/>
        <w:widowControl w:val="0"/>
        <w:numPr>
          <w:ilvl w:val="0"/>
          <w:numId w:val="0"/>
        </w:numPr>
        <w:kinsoku/>
        <w:wordWrap/>
        <w:overflowPunct/>
        <w:topLinePunct w:val="0"/>
        <w:autoSpaceDE/>
        <w:autoSpaceDN/>
        <w:bidi w:val="0"/>
        <w:adjustRightInd w:val="0"/>
        <w:snapToGrid w:val="0"/>
        <w:spacing w:line="540" w:lineRule="atLeast"/>
        <w:ind w:firstLine="564" w:firstLineChars="0"/>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2"/>
          <w:sz w:val="28"/>
          <w:szCs w:val="28"/>
          <w:highlight w:val="none"/>
          <w:lang w:val="en-US" w:eastAsia="zh-CN" w:bidi="ar-SA"/>
        </w:rPr>
        <w:t>（2）</w:t>
      </w:r>
      <w:r>
        <w:rPr>
          <w:rFonts w:hint="eastAsia" w:ascii="仿宋" w:hAnsi="仿宋" w:eastAsia="仿宋" w:cs="仿宋"/>
          <w:color w:val="auto"/>
          <w:sz w:val="28"/>
          <w:szCs w:val="28"/>
          <w:highlight w:val="none"/>
          <w:lang w:val="en-US" w:eastAsia="zh-CN"/>
        </w:rPr>
        <w:t>AB组</w:t>
      </w:r>
      <w:r>
        <w:rPr>
          <w:rFonts w:hint="eastAsia" w:ascii="仿宋" w:hAnsi="仿宋" w:eastAsia="仿宋" w:cs="仿宋"/>
          <w:color w:val="auto"/>
          <w:sz w:val="28"/>
          <w:szCs w:val="28"/>
          <w:highlight w:val="none"/>
        </w:rPr>
        <w:t>自由组合</w:t>
      </w:r>
    </w:p>
    <w:p w14:paraId="53A30F46">
      <w:pPr>
        <w:keepNext w:val="0"/>
        <w:keepLines w:val="0"/>
        <w:pageBreakBefore w:val="0"/>
        <w:widowControl w:val="0"/>
        <w:kinsoku/>
        <w:wordWrap/>
        <w:overflowPunct/>
        <w:topLinePunct w:val="0"/>
        <w:autoSpaceDE/>
        <w:autoSpaceDN/>
        <w:bidi w:val="0"/>
        <w:adjustRightInd w:val="0"/>
        <w:snapToGrid w:val="0"/>
        <w:spacing w:line="540" w:lineRule="atLeast"/>
        <w:ind w:firstLine="564"/>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各代表团每项目1队，</w:t>
      </w:r>
      <w:r>
        <w:rPr>
          <w:rFonts w:hint="eastAsia" w:ascii="仿宋" w:hAnsi="仿宋" w:eastAsia="仿宋" w:cs="仿宋"/>
          <w:color w:val="auto"/>
          <w:sz w:val="28"/>
          <w:szCs w:val="28"/>
          <w:highlight w:val="none"/>
        </w:rPr>
        <w:t>每队</w:t>
      </w:r>
      <w:r>
        <w:rPr>
          <w:rFonts w:hint="eastAsia" w:ascii="仿宋" w:hAnsi="仿宋" w:eastAsia="仿宋" w:cs="仿宋"/>
          <w:color w:val="auto"/>
          <w:sz w:val="28"/>
          <w:szCs w:val="28"/>
          <w:highlight w:val="none"/>
          <w:lang w:val="en-US" w:eastAsia="zh-CN"/>
        </w:rPr>
        <w:t>可报</w:t>
      </w: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10</w:t>
      </w:r>
      <w:r>
        <w:rPr>
          <w:rFonts w:hint="eastAsia" w:ascii="仿宋" w:hAnsi="仿宋" w:eastAsia="仿宋" w:cs="仿宋"/>
          <w:color w:val="auto"/>
          <w:sz w:val="28"/>
          <w:szCs w:val="28"/>
          <w:highlight w:val="none"/>
          <w:lang w:val="en-US" w:eastAsia="zh-CN"/>
        </w:rPr>
        <w:t>人</w:t>
      </w:r>
      <w:r>
        <w:rPr>
          <w:rFonts w:hint="eastAsia" w:ascii="仿宋" w:hAnsi="仿宋" w:eastAsia="仿宋" w:cs="仿宋"/>
          <w:color w:val="auto"/>
          <w:sz w:val="28"/>
          <w:szCs w:val="28"/>
          <w:highlight w:val="none"/>
          <w:lang w:eastAsia="zh-Hans"/>
        </w:rPr>
        <w:t>，</w:t>
      </w:r>
      <w:r>
        <w:rPr>
          <w:rFonts w:hint="eastAsia" w:ascii="仿宋" w:hAnsi="仿宋" w:eastAsia="仿宋" w:cs="仿宋"/>
          <w:color w:val="auto"/>
          <w:sz w:val="28"/>
          <w:szCs w:val="28"/>
          <w:highlight w:val="none"/>
          <w:lang w:val="en-US" w:eastAsia="zh-CN"/>
        </w:rPr>
        <w:t>另可报替补2人。其中</w:t>
      </w:r>
      <w:r>
        <w:rPr>
          <w:rFonts w:hint="eastAsia" w:ascii="仿宋" w:hAnsi="仿宋" w:eastAsia="仿宋" w:cs="仿宋"/>
          <w:color w:val="auto"/>
          <w:sz w:val="28"/>
          <w:szCs w:val="28"/>
          <w:highlight w:val="none"/>
          <w:lang w:val="en-US" w:eastAsia="zh-Hans"/>
        </w:rPr>
        <w:t>男运动员最多可</w:t>
      </w:r>
      <w:r>
        <w:rPr>
          <w:rFonts w:hint="eastAsia" w:ascii="仿宋" w:hAnsi="仿宋" w:eastAsia="仿宋" w:cs="仿宋"/>
          <w:color w:val="auto"/>
          <w:sz w:val="28"/>
          <w:szCs w:val="28"/>
          <w:highlight w:val="none"/>
          <w:lang w:val="en-US" w:eastAsia="zh-CN"/>
        </w:rPr>
        <w:t>报2人。</w:t>
      </w:r>
    </w:p>
    <w:p w14:paraId="33ED2254">
      <w:pPr>
        <w:keepNext w:val="0"/>
        <w:keepLines w:val="0"/>
        <w:pageBreakBefore w:val="0"/>
        <w:widowControl w:val="0"/>
        <w:kinsoku/>
        <w:wordWrap/>
        <w:overflowPunct/>
        <w:topLinePunct w:val="0"/>
        <w:autoSpaceDE/>
        <w:autoSpaceDN/>
        <w:bidi w:val="0"/>
        <w:adjustRightInd w:val="0"/>
        <w:snapToGrid w:val="0"/>
        <w:spacing w:line="540" w:lineRule="atLeast"/>
        <w:ind w:firstLine="564"/>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三</w:t>
      </w:r>
      <w:r>
        <w:rPr>
          <w:rFonts w:hint="eastAsia" w:ascii="仿宋" w:hAnsi="仿宋" w:eastAsia="仿宋" w:cs="仿宋"/>
          <w:color w:val="auto"/>
          <w:sz w:val="28"/>
          <w:szCs w:val="28"/>
          <w:highlight w:val="none"/>
        </w:rPr>
        <w:t>）</w:t>
      </w:r>
      <w:r>
        <w:rPr>
          <w:rFonts w:hint="default" w:ascii="仿宋" w:hAnsi="仿宋" w:eastAsia="仿宋" w:cs="仿宋"/>
          <w:color w:val="auto"/>
          <w:sz w:val="28"/>
          <w:szCs w:val="28"/>
          <w:highlight w:val="none"/>
          <w:lang w:val="en-US" w:eastAsia="zh-CN"/>
        </w:rPr>
        <w:t>各代表团交流运动员报名人数不得超过该组别实际报名人数的30%(按四舍五入计)。</w:t>
      </w:r>
    </w:p>
    <w:p w14:paraId="6814CC5C">
      <w:pPr>
        <w:keepNext w:val="0"/>
        <w:keepLines w:val="0"/>
        <w:pageBreakBefore w:val="0"/>
        <w:widowControl w:val="0"/>
        <w:kinsoku/>
        <w:wordWrap/>
        <w:overflowPunct/>
        <w:topLinePunct w:val="0"/>
        <w:autoSpaceDE/>
        <w:autoSpaceDN/>
        <w:bidi w:val="0"/>
        <w:adjustRightInd w:val="0"/>
        <w:snapToGrid w:val="0"/>
        <w:spacing w:line="540" w:lineRule="atLeast"/>
        <w:ind w:firstLine="564"/>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四</w:t>
      </w:r>
      <w:r>
        <w:rPr>
          <w:rFonts w:hint="eastAsia" w:ascii="仿宋" w:hAnsi="仿宋" w:eastAsia="仿宋" w:cs="仿宋"/>
          <w:color w:val="auto"/>
          <w:sz w:val="28"/>
          <w:szCs w:val="28"/>
          <w:highlight w:val="none"/>
        </w:rPr>
        <w:t>）参赛单位通过大会指定的网站www.aijingsai.cn（上海青少年体育赛事网）进行网上报名，并在规定时间内将导出打印的报名表加盖公章后，一式两份报大会组委会竞赛部（地址：徐汇区零陵路800号8楼，竞赛部，31211118）</w:t>
      </w:r>
      <w:r>
        <w:rPr>
          <w:rFonts w:hint="eastAsia" w:ascii="仿宋" w:hAnsi="仿宋" w:eastAsia="仿宋" w:cs="仿宋"/>
          <w:color w:val="auto"/>
          <w:sz w:val="28"/>
          <w:szCs w:val="28"/>
          <w:highlight w:val="none"/>
          <w:lang w:val="en-US" w:eastAsia="zh-CN"/>
        </w:rPr>
        <w:t>。</w:t>
      </w:r>
    </w:p>
    <w:p w14:paraId="58401A1F">
      <w:pPr>
        <w:keepNext w:val="0"/>
        <w:keepLines w:val="0"/>
        <w:pageBreakBefore w:val="0"/>
        <w:widowControl w:val="0"/>
        <w:kinsoku/>
        <w:wordWrap/>
        <w:overflowPunct/>
        <w:topLinePunct w:val="0"/>
        <w:autoSpaceDE/>
        <w:autoSpaceDN/>
        <w:bidi w:val="0"/>
        <w:adjustRightInd w:val="0"/>
        <w:snapToGrid w:val="0"/>
        <w:spacing w:line="540" w:lineRule="atLeast"/>
        <w:ind w:firstLine="564"/>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五）参赛项目填报动作难度的教练卡于XXXX年XX月XX日前提交至邮箱SH_artisticswim@163.com（标题注明XX区2026年上海市第十八届运动会花样游泳比赛教练卡+份数；例：XX区2026年上海市第十八届运动会花样游泳比赛教练卡+12份），如无不可抗力原因，将不再接受修改。</w:t>
      </w:r>
    </w:p>
    <w:p w14:paraId="73506613">
      <w:pPr>
        <w:keepNext w:val="0"/>
        <w:keepLines w:val="0"/>
        <w:pageBreakBefore w:val="0"/>
        <w:widowControl w:val="0"/>
        <w:kinsoku/>
        <w:wordWrap/>
        <w:overflowPunct/>
        <w:topLinePunct w:val="0"/>
        <w:autoSpaceDE/>
        <w:autoSpaceDN/>
        <w:bidi w:val="0"/>
        <w:adjustRightInd w:val="0"/>
        <w:snapToGrid w:val="0"/>
        <w:spacing w:line="540" w:lineRule="atLeast"/>
        <w:ind w:firstLine="564"/>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六</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抽签与领队教练联席会议由竞委会另行通知。</w:t>
      </w:r>
    </w:p>
    <w:p w14:paraId="171BA1DF">
      <w:pPr>
        <w:keepNext w:val="0"/>
        <w:keepLines w:val="0"/>
        <w:pageBreakBefore w:val="0"/>
        <w:widowControl w:val="0"/>
        <w:kinsoku/>
        <w:wordWrap/>
        <w:overflowPunct/>
        <w:topLinePunct w:val="0"/>
        <w:autoSpaceDE/>
        <w:autoSpaceDN/>
        <w:bidi w:val="0"/>
        <w:adjustRightInd w:val="0"/>
        <w:snapToGrid w:val="0"/>
        <w:spacing w:line="540" w:lineRule="atLeast"/>
        <w:ind w:firstLine="564"/>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（七）技术会上确认上场人员名单，技术会后因伤病确需更换人员，在该项目比赛前4小时由参赛单位提供二级甲等及以上医院相关证明，书面提交换人申请至裁判长。</w:t>
      </w:r>
    </w:p>
    <w:p w14:paraId="10C98F97">
      <w:pPr>
        <w:keepNext w:val="0"/>
        <w:keepLines w:val="0"/>
        <w:pageBreakBefore w:val="0"/>
        <w:widowControl w:val="0"/>
        <w:kinsoku/>
        <w:wordWrap/>
        <w:overflowPunct/>
        <w:topLinePunct w:val="0"/>
        <w:autoSpaceDE/>
        <w:autoSpaceDN/>
        <w:bidi w:val="0"/>
        <w:adjustRightInd w:val="0"/>
        <w:snapToGrid w:val="0"/>
        <w:spacing w:line="540" w:lineRule="atLeast"/>
        <w:ind w:firstLine="564"/>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（八）各小项参赛队如因运动员伤病需更换人员，只能由已报名的替补运动员按竞赛规则规定进行调换。</w:t>
      </w:r>
    </w:p>
    <w:p w14:paraId="0C3770C1">
      <w:pPr>
        <w:keepNext w:val="0"/>
        <w:keepLines w:val="0"/>
        <w:pageBreakBefore w:val="0"/>
        <w:widowControl w:val="0"/>
        <w:kinsoku/>
        <w:wordWrap/>
        <w:overflowPunct/>
        <w:topLinePunct w:val="0"/>
        <w:autoSpaceDE/>
        <w:autoSpaceDN/>
        <w:bidi w:val="0"/>
        <w:adjustRightInd w:val="0"/>
        <w:snapToGrid w:val="0"/>
        <w:spacing w:line="540" w:lineRule="atLeast"/>
        <w:ind w:firstLine="564"/>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九</w:t>
      </w:r>
      <w:r>
        <w:rPr>
          <w:rFonts w:hint="eastAsia" w:ascii="仿宋" w:hAnsi="仿宋" w:eastAsia="仿宋" w:cs="仿宋"/>
          <w:color w:val="auto"/>
          <w:sz w:val="28"/>
          <w:szCs w:val="28"/>
          <w:highlight w:val="none"/>
        </w:rPr>
        <w:t>）关于弃权的规定</w:t>
      </w:r>
    </w:p>
    <w:p w14:paraId="4FB612B5">
      <w:pPr>
        <w:keepNext w:val="0"/>
        <w:keepLines w:val="0"/>
        <w:pageBreakBefore w:val="0"/>
        <w:widowControl w:val="0"/>
        <w:kinsoku/>
        <w:wordWrap/>
        <w:overflowPunct/>
        <w:topLinePunct w:val="0"/>
        <w:autoSpaceDE/>
        <w:autoSpaceDN/>
        <w:bidi w:val="0"/>
        <w:adjustRightInd w:val="0"/>
        <w:snapToGrid w:val="0"/>
        <w:spacing w:line="540" w:lineRule="atLeast"/>
        <w:ind w:firstLine="564"/>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运动员（队）在报名后，因伤、病不能参赛的，赛前应出具二级甲等及以上医院病假单（因事不能参赛的，则出具书面说明），经参赛单位盖章，</w:t>
      </w:r>
      <w:r>
        <w:rPr>
          <w:rFonts w:hint="eastAsia" w:ascii="仿宋" w:hAnsi="仿宋" w:eastAsia="仿宋" w:cs="仿宋"/>
          <w:color w:val="auto"/>
          <w:sz w:val="28"/>
          <w:szCs w:val="28"/>
          <w:highlight w:val="none"/>
          <w:lang w:val="en-US" w:eastAsia="zh-CN"/>
        </w:rPr>
        <w:t>参赛单位</w:t>
      </w:r>
      <w:r>
        <w:rPr>
          <w:rFonts w:hint="eastAsia" w:ascii="仿宋" w:hAnsi="仿宋" w:eastAsia="仿宋" w:cs="仿宋"/>
          <w:color w:val="auto"/>
          <w:sz w:val="28"/>
          <w:szCs w:val="28"/>
          <w:highlight w:val="none"/>
        </w:rPr>
        <w:t>负责人签字确认；因参加全国比赛、集训等事宜不能参赛的，赛前应出具全国比赛代表单位、项目中心等证明</w:t>
      </w:r>
      <w:r>
        <w:rPr>
          <w:rFonts w:hint="eastAsia" w:ascii="仿宋" w:hAnsi="仿宋" w:eastAsia="仿宋" w:cs="仿宋"/>
          <w:color w:val="auto"/>
          <w:sz w:val="28"/>
          <w:szCs w:val="28"/>
          <w:highlight w:val="none"/>
          <w:lang w:val="en-US" w:eastAsia="zh-CN"/>
        </w:rPr>
        <w:t>材料</w:t>
      </w:r>
      <w:r>
        <w:rPr>
          <w:rFonts w:hint="eastAsia" w:ascii="仿宋" w:hAnsi="仿宋" w:eastAsia="仿宋" w:cs="仿宋"/>
          <w:color w:val="auto"/>
          <w:sz w:val="28"/>
          <w:szCs w:val="28"/>
          <w:highlight w:val="none"/>
        </w:rPr>
        <w:t>（盖章），分管领导签字确认</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否则将被认定为无故弃权。</w:t>
      </w:r>
    </w:p>
    <w:p w14:paraId="31B6A345">
      <w:pPr>
        <w:keepNext w:val="0"/>
        <w:keepLines w:val="0"/>
        <w:pageBreakBefore w:val="0"/>
        <w:widowControl w:val="0"/>
        <w:kinsoku/>
        <w:wordWrap/>
        <w:overflowPunct/>
        <w:topLinePunct w:val="0"/>
        <w:autoSpaceDE/>
        <w:autoSpaceDN/>
        <w:bidi w:val="0"/>
        <w:adjustRightInd w:val="0"/>
        <w:snapToGrid w:val="0"/>
        <w:spacing w:line="540" w:lineRule="atLeast"/>
        <w:ind w:firstLine="562" w:firstLineChars="200"/>
        <w:textAlignment w:val="auto"/>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十、竞赛办法</w:t>
      </w:r>
    </w:p>
    <w:p w14:paraId="2F4F3040">
      <w:pPr>
        <w:keepNext w:val="0"/>
        <w:keepLines w:val="0"/>
        <w:pageBreakBefore w:val="0"/>
        <w:widowControl w:val="0"/>
        <w:kinsoku/>
        <w:wordWrap/>
        <w:overflowPunct/>
        <w:topLinePunct w:val="0"/>
        <w:autoSpaceDE/>
        <w:autoSpaceDN/>
        <w:bidi w:val="0"/>
        <w:adjustRightInd w:val="0"/>
        <w:snapToGrid w:val="0"/>
        <w:spacing w:line="540" w:lineRule="atLeast"/>
        <w:ind w:firstLine="564"/>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（一）</w:t>
      </w:r>
      <w:r>
        <w:rPr>
          <w:rFonts w:hint="eastAsia" w:ascii="仿宋" w:hAnsi="仿宋" w:eastAsia="仿宋" w:cs="仿宋"/>
          <w:color w:val="auto"/>
          <w:sz w:val="28"/>
          <w:szCs w:val="28"/>
          <w:highlight w:val="none"/>
          <w:lang w:val="en-US" w:eastAsia="zh-Hans"/>
        </w:rPr>
        <w:t>采用国家体育总局游泳运动管理中心</w:t>
      </w:r>
      <w:r>
        <w:rPr>
          <w:rFonts w:hint="eastAsia" w:ascii="仿宋" w:hAnsi="仿宋" w:eastAsia="仿宋" w:cs="仿宋"/>
          <w:color w:val="auto"/>
          <w:sz w:val="28"/>
          <w:szCs w:val="28"/>
          <w:highlight w:val="none"/>
          <w:lang w:val="en-US" w:eastAsia="zh-CN"/>
        </w:rPr>
        <w:t>最新</w:t>
      </w:r>
      <w:r>
        <w:rPr>
          <w:rFonts w:hint="eastAsia" w:ascii="仿宋" w:hAnsi="仿宋" w:eastAsia="仿宋" w:cs="仿宋"/>
          <w:color w:val="auto"/>
          <w:sz w:val="28"/>
          <w:szCs w:val="28"/>
          <w:highlight w:val="none"/>
          <w:lang w:val="en-US" w:eastAsia="zh-Hans"/>
        </w:rPr>
        <w:t>审定的</w:t>
      </w:r>
      <w:r>
        <w:rPr>
          <w:rFonts w:hint="eastAsia" w:ascii="仿宋" w:hAnsi="仿宋" w:eastAsia="仿宋" w:cs="仿宋"/>
          <w:color w:val="auto"/>
          <w:sz w:val="28"/>
          <w:szCs w:val="28"/>
          <w:highlight w:val="none"/>
          <w:lang w:val="en-US" w:eastAsia="zh-CN"/>
        </w:rPr>
        <w:t>《花样游泳项目竞赛规则》及相关补充规定。</w:t>
      </w:r>
    </w:p>
    <w:p w14:paraId="4B0B266B">
      <w:pPr>
        <w:keepNext w:val="0"/>
        <w:keepLines w:val="0"/>
        <w:pageBreakBefore w:val="0"/>
        <w:widowControl w:val="0"/>
        <w:kinsoku/>
        <w:wordWrap/>
        <w:overflowPunct/>
        <w:topLinePunct w:val="0"/>
        <w:autoSpaceDE/>
        <w:autoSpaceDN/>
        <w:bidi w:val="0"/>
        <w:adjustRightInd w:val="0"/>
        <w:snapToGrid w:val="0"/>
        <w:spacing w:line="540" w:lineRule="atLeast"/>
        <w:ind w:firstLine="564"/>
        <w:textAlignment w:val="auto"/>
        <w:rPr>
          <w:rFonts w:hint="eastAsia" w:ascii="仿宋" w:hAnsi="仿宋" w:eastAsia="仿宋" w:cs="仿宋"/>
          <w:color w:val="auto"/>
          <w:sz w:val="28"/>
          <w:szCs w:val="28"/>
          <w:highlight w:val="none"/>
          <w:lang w:val="en-US" w:eastAsia="zh-Hans"/>
        </w:rPr>
      </w:pPr>
      <w:r>
        <w:rPr>
          <w:rFonts w:hint="eastAsia" w:ascii="仿宋" w:hAnsi="仿宋" w:eastAsia="仿宋" w:cs="仿宋"/>
          <w:color w:val="auto"/>
          <w:sz w:val="28"/>
          <w:szCs w:val="28"/>
          <w:highlight w:val="none"/>
          <w:lang w:val="en-US" w:eastAsia="zh-Hans"/>
        </w:rPr>
        <w:t>（二）规定动作按《世界泳联2022至2025年花样游泳竞赛规则》各年龄组进行。</w:t>
      </w:r>
    </w:p>
    <w:p w14:paraId="22234BFE">
      <w:pPr>
        <w:keepNext w:val="0"/>
        <w:keepLines w:val="0"/>
        <w:pageBreakBefore w:val="0"/>
        <w:widowControl w:val="0"/>
        <w:kinsoku/>
        <w:wordWrap/>
        <w:overflowPunct/>
        <w:topLinePunct w:val="0"/>
        <w:autoSpaceDE/>
        <w:autoSpaceDN/>
        <w:bidi w:val="0"/>
        <w:adjustRightInd w:val="0"/>
        <w:snapToGrid w:val="0"/>
        <w:spacing w:line="540" w:lineRule="atLeast"/>
        <w:ind w:firstLine="564"/>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（三）各项目自选根据世界泳联官网更新的自选必做串数表中对应项目规定执行。</w:t>
      </w:r>
    </w:p>
    <w:p w14:paraId="05D2B626">
      <w:pPr>
        <w:keepNext w:val="0"/>
        <w:keepLines w:val="0"/>
        <w:pageBreakBefore w:val="0"/>
        <w:widowControl w:val="0"/>
        <w:kinsoku/>
        <w:wordWrap/>
        <w:overflowPunct/>
        <w:topLinePunct w:val="0"/>
        <w:autoSpaceDE/>
        <w:autoSpaceDN/>
        <w:bidi w:val="0"/>
        <w:adjustRightInd w:val="0"/>
        <w:snapToGrid w:val="0"/>
        <w:spacing w:line="540" w:lineRule="atLeast"/>
        <w:ind w:firstLine="564"/>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（四）腿组合难度限制</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93"/>
        <w:gridCol w:w="2494"/>
        <w:gridCol w:w="2494"/>
      </w:tblGrid>
      <w:tr w14:paraId="16981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3493" w:type="dxa"/>
            <w:vAlign w:val="center"/>
          </w:tcPr>
          <w:p w14:paraId="66A5BFD3">
            <w:pPr>
              <w:keepNext w:val="0"/>
              <w:keepLines w:val="0"/>
              <w:pageBreakBefore w:val="0"/>
              <w:widowControl w:val="0"/>
              <w:kinsoku/>
              <w:wordWrap/>
              <w:overflowPunct/>
              <w:topLinePunct w:val="0"/>
              <w:autoSpaceDE/>
              <w:autoSpaceDN/>
              <w:bidi w:val="0"/>
              <w:adjustRightInd w:val="0"/>
              <w:snapToGrid w:val="0"/>
              <w:spacing w:line="240" w:lineRule="atLeast"/>
              <w:ind w:firstLine="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组别</w:t>
            </w:r>
          </w:p>
        </w:tc>
        <w:tc>
          <w:tcPr>
            <w:tcW w:w="2494" w:type="dxa"/>
            <w:vAlign w:val="center"/>
          </w:tcPr>
          <w:p w14:paraId="4D1EEBB1">
            <w:pPr>
              <w:keepNext w:val="0"/>
              <w:keepLines w:val="0"/>
              <w:pageBreakBefore w:val="0"/>
              <w:widowControl w:val="0"/>
              <w:kinsoku/>
              <w:wordWrap/>
              <w:overflowPunct/>
              <w:topLinePunct w:val="0"/>
              <w:autoSpaceDE/>
              <w:autoSpaceDN/>
              <w:bidi w:val="0"/>
              <w:adjustRightInd w:val="0"/>
              <w:snapToGrid w:val="0"/>
              <w:spacing w:line="240" w:lineRule="atLeast"/>
              <w:ind w:firstLine="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B组</w:t>
            </w:r>
          </w:p>
        </w:tc>
        <w:tc>
          <w:tcPr>
            <w:tcW w:w="2494" w:type="dxa"/>
            <w:vAlign w:val="center"/>
          </w:tcPr>
          <w:p w14:paraId="4A04082F">
            <w:pPr>
              <w:keepNext w:val="0"/>
              <w:keepLines w:val="0"/>
              <w:pageBreakBefore w:val="0"/>
              <w:widowControl w:val="0"/>
              <w:kinsoku/>
              <w:wordWrap/>
              <w:overflowPunct/>
              <w:topLinePunct w:val="0"/>
              <w:autoSpaceDE/>
              <w:autoSpaceDN/>
              <w:bidi w:val="0"/>
              <w:adjustRightInd w:val="0"/>
              <w:snapToGrid w:val="0"/>
              <w:spacing w:line="240" w:lineRule="atLeast"/>
              <w:ind w:firstLine="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A组</w:t>
            </w:r>
          </w:p>
        </w:tc>
      </w:tr>
      <w:tr w14:paraId="57731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3493" w:type="dxa"/>
            <w:vAlign w:val="center"/>
          </w:tcPr>
          <w:p w14:paraId="75DF8EA8">
            <w:pPr>
              <w:keepNext w:val="0"/>
              <w:keepLines w:val="0"/>
              <w:pageBreakBefore w:val="0"/>
              <w:widowControl w:val="0"/>
              <w:kinsoku/>
              <w:wordWrap/>
              <w:overflowPunct/>
              <w:topLinePunct w:val="0"/>
              <w:autoSpaceDE/>
              <w:autoSpaceDN/>
              <w:bidi w:val="0"/>
              <w:adjustRightInd w:val="0"/>
              <w:snapToGrid w:val="0"/>
              <w:spacing w:line="240" w:lineRule="atLeast"/>
              <w:ind w:firstLine="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单串腿最长憋气时间不超过</w:t>
            </w:r>
          </w:p>
        </w:tc>
        <w:tc>
          <w:tcPr>
            <w:tcW w:w="2494" w:type="dxa"/>
            <w:vAlign w:val="center"/>
          </w:tcPr>
          <w:p w14:paraId="327BF3EA">
            <w:pPr>
              <w:keepNext w:val="0"/>
              <w:keepLines w:val="0"/>
              <w:pageBreakBefore w:val="0"/>
              <w:widowControl w:val="0"/>
              <w:kinsoku/>
              <w:wordWrap/>
              <w:overflowPunct/>
              <w:topLinePunct w:val="0"/>
              <w:autoSpaceDE/>
              <w:autoSpaceDN/>
              <w:bidi w:val="0"/>
              <w:adjustRightInd w:val="0"/>
              <w:snapToGrid w:val="0"/>
              <w:spacing w:line="240" w:lineRule="atLeast"/>
              <w:ind w:firstLine="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≤16</w:t>
            </w:r>
          </w:p>
        </w:tc>
        <w:tc>
          <w:tcPr>
            <w:tcW w:w="2494" w:type="dxa"/>
            <w:vAlign w:val="center"/>
          </w:tcPr>
          <w:p w14:paraId="3034EC75">
            <w:pPr>
              <w:keepNext w:val="0"/>
              <w:keepLines w:val="0"/>
              <w:pageBreakBefore w:val="0"/>
              <w:widowControl w:val="0"/>
              <w:kinsoku/>
              <w:wordWrap/>
              <w:overflowPunct/>
              <w:topLinePunct w:val="0"/>
              <w:autoSpaceDE/>
              <w:autoSpaceDN/>
              <w:bidi w:val="0"/>
              <w:adjustRightInd w:val="0"/>
              <w:snapToGrid w:val="0"/>
              <w:spacing w:line="240" w:lineRule="atLeast"/>
              <w:ind w:firstLine="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≤20</w:t>
            </w:r>
          </w:p>
        </w:tc>
      </w:tr>
    </w:tbl>
    <w:p w14:paraId="700A5A75">
      <w:pPr>
        <w:keepNext w:val="0"/>
        <w:keepLines w:val="0"/>
        <w:pageBreakBefore w:val="0"/>
        <w:widowControl w:val="0"/>
        <w:kinsoku/>
        <w:wordWrap/>
        <w:autoSpaceDE/>
        <w:autoSpaceDN/>
        <w:bidi w:val="0"/>
        <w:adjustRightInd w:val="0"/>
        <w:snapToGrid w:val="0"/>
        <w:spacing w:line="540" w:lineRule="exact"/>
        <w:ind w:firstLine="564"/>
        <w:textAlignment w:val="auto"/>
        <w:rPr>
          <w:rFonts w:hint="eastAsia" w:ascii="仿宋" w:hAnsi="仿宋" w:eastAsia="仿宋" w:cs="仿宋"/>
          <w:color w:val="auto"/>
          <w:sz w:val="28"/>
          <w:szCs w:val="28"/>
          <w:highlight w:val="none"/>
          <w:lang w:val="en-US" w:eastAsia="zh-CN"/>
        </w:rPr>
      </w:pPr>
    </w:p>
    <w:p w14:paraId="1CCBBAB0">
      <w:pPr>
        <w:keepNext w:val="0"/>
        <w:keepLines w:val="0"/>
        <w:pageBreakBefore w:val="0"/>
        <w:widowControl w:val="0"/>
        <w:kinsoku/>
        <w:wordWrap/>
        <w:autoSpaceDE/>
        <w:autoSpaceDN/>
        <w:bidi w:val="0"/>
        <w:adjustRightInd w:val="0"/>
        <w:snapToGrid w:val="0"/>
        <w:spacing w:line="540" w:lineRule="exact"/>
        <w:ind w:firstLine="564"/>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（五）竞赛项目</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9"/>
        <w:gridCol w:w="3195"/>
        <w:gridCol w:w="1155"/>
        <w:gridCol w:w="2581"/>
      </w:tblGrid>
      <w:tr w14:paraId="7EB48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1549" w:type="dxa"/>
            <w:vAlign w:val="center"/>
          </w:tcPr>
          <w:p w14:paraId="2147F9A2">
            <w:pPr>
              <w:keepNext w:val="0"/>
              <w:keepLines w:val="0"/>
              <w:pageBreakBefore w:val="0"/>
              <w:widowControl w:val="0"/>
              <w:kinsoku/>
              <w:wordWrap/>
              <w:overflowPunct/>
              <w:topLinePunct w:val="0"/>
              <w:autoSpaceDE/>
              <w:autoSpaceDN/>
              <w:bidi w:val="0"/>
              <w:adjustRightInd w:val="0"/>
              <w:snapToGrid w:val="0"/>
              <w:spacing w:line="240" w:lineRule="atLeast"/>
              <w:ind w:left="0" w:leftChars="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组别</w:t>
            </w:r>
          </w:p>
        </w:tc>
        <w:tc>
          <w:tcPr>
            <w:tcW w:w="3195" w:type="dxa"/>
            <w:vAlign w:val="center"/>
          </w:tcPr>
          <w:p w14:paraId="2DBEC3B1">
            <w:pPr>
              <w:keepNext w:val="0"/>
              <w:keepLines w:val="0"/>
              <w:pageBreakBefore w:val="0"/>
              <w:widowControl w:val="0"/>
              <w:kinsoku/>
              <w:wordWrap/>
              <w:overflowPunct/>
              <w:topLinePunct w:val="0"/>
              <w:autoSpaceDE/>
              <w:autoSpaceDN/>
              <w:bidi w:val="0"/>
              <w:adjustRightInd w:val="0"/>
              <w:snapToGrid w:val="0"/>
              <w:spacing w:line="240" w:lineRule="atLeast"/>
              <w:ind w:firstLine="564"/>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w:t>
            </w:r>
          </w:p>
        </w:tc>
        <w:tc>
          <w:tcPr>
            <w:tcW w:w="1155" w:type="dxa"/>
            <w:vAlign w:val="center"/>
          </w:tcPr>
          <w:p w14:paraId="16306C9C">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时间</w:t>
            </w:r>
          </w:p>
        </w:tc>
        <w:tc>
          <w:tcPr>
            <w:tcW w:w="2581" w:type="dxa"/>
            <w:vAlign w:val="center"/>
          </w:tcPr>
          <w:p w14:paraId="2E420D48">
            <w:pPr>
              <w:keepNext w:val="0"/>
              <w:keepLines w:val="0"/>
              <w:pageBreakBefore w:val="0"/>
              <w:widowControl w:val="0"/>
              <w:kinsoku/>
              <w:wordWrap/>
              <w:overflowPunct/>
              <w:topLinePunct w:val="0"/>
              <w:autoSpaceDE/>
              <w:autoSpaceDN/>
              <w:bidi w:val="0"/>
              <w:adjustRightInd w:val="0"/>
              <w:snapToGrid w:val="0"/>
              <w:spacing w:line="240" w:lineRule="atLeas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备注</w:t>
            </w:r>
          </w:p>
        </w:tc>
      </w:tr>
      <w:tr w14:paraId="387FB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549" w:type="dxa"/>
            <w:vMerge w:val="restart"/>
            <w:vAlign w:val="center"/>
          </w:tcPr>
          <w:p w14:paraId="1FB6606C">
            <w:pPr>
              <w:keepNext w:val="0"/>
              <w:keepLines w:val="0"/>
              <w:pageBreakBefore w:val="0"/>
              <w:widowControl w:val="0"/>
              <w:kinsoku/>
              <w:wordWrap/>
              <w:overflowPunct/>
              <w:topLinePunct w:val="0"/>
              <w:autoSpaceDE/>
              <w:autoSpaceDN/>
              <w:bidi w:val="0"/>
              <w:adjustRightInd w:val="0"/>
              <w:snapToGrid w:val="0"/>
              <w:spacing w:line="240" w:lineRule="atLeast"/>
              <w:ind w:left="0" w:leftChars="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A组</w:t>
            </w:r>
          </w:p>
        </w:tc>
        <w:tc>
          <w:tcPr>
            <w:tcW w:w="3195" w:type="dxa"/>
            <w:vAlign w:val="center"/>
          </w:tcPr>
          <w:p w14:paraId="0409E49B">
            <w:pPr>
              <w:keepNext w:val="0"/>
              <w:keepLines w:val="0"/>
              <w:pageBreakBefore w:val="0"/>
              <w:widowControl w:val="0"/>
              <w:kinsoku/>
              <w:wordWrap/>
              <w:overflowPunct/>
              <w:topLinePunct w:val="0"/>
              <w:autoSpaceDE/>
              <w:autoSpaceDN/>
              <w:bidi w:val="0"/>
              <w:adjustRightInd w:val="0"/>
              <w:snapToGrid w:val="0"/>
              <w:spacing w:line="240" w:lineRule="atLeas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1.女子单人自由自选</w:t>
            </w:r>
          </w:p>
        </w:tc>
        <w:tc>
          <w:tcPr>
            <w:tcW w:w="1155" w:type="dxa"/>
            <w:vAlign w:val="center"/>
          </w:tcPr>
          <w:p w14:paraId="1626BE60">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2:00</w:t>
            </w:r>
          </w:p>
        </w:tc>
        <w:tc>
          <w:tcPr>
            <w:tcW w:w="2581" w:type="dxa"/>
            <w:vMerge w:val="restart"/>
            <w:vAlign w:val="center"/>
          </w:tcPr>
          <w:p w14:paraId="1EEEA6A5">
            <w:pPr>
              <w:keepNext w:val="0"/>
              <w:keepLines w:val="0"/>
              <w:pageBreakBefore w:val="0"/>
              <w:widowControl w:val="0"/>
              <w:kinsoku/>
              <w:wordWrap/>
              <w:overflowPunct/>
              <w:topLinePunct w:val="0"/>
              <w:autoSpaceDE/>
              <w:autoSpaceDN/>
              <w:bidi w:val="0"/>
              <w:adjustRightInd w:val="0"/>
              <w:snapToGrid w:val="0"/>
              <w:spacing w:line="240" w:lineRule="atLeas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音乐时间</w:t>
            </w:r>
          </w:p>
          <w:p w14:paraId="1E4A3C55">
            <w:pPr>
              <w:keepNext w:val="0"/>
              <w:keepLines w:val="0"/>
              <w:pageBreakBefore w:val="0"/>
              <w:widowControl w:val="0"/>
              <w:kinsoku/>
              <w:wordWrap/>
              <w:overflowPunct/>
              <w:topLinePunct w:val="0"/>
              <w:autoSpaceDE/>
              <w:autoSpaceDN/>
              <w:bidi w:val="0"/>
              <w:adjustRightInd w:val="0"/>
              <w:snapToGrid w:val="0"/>
              <w:spacing w:line="240" w:lineRule="atLeas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（正负5秒）</w:t>
            </w:r>
          </w:p>
        </w:tc>
      </w:tr>
      <w:tr w14:paraId="096EF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1549" w:type="dxa"/>
            <w:vMerge w:val="continue"/>
            <w:vAlign w:val="center"/>
          </w:tcPr>
          <w:p w14:paraId="51DF202F">
            <w:pPr>
              <w:keepNext w:val="0"/>
              <w:keepLines w:val="0"/>
              <w:pageBreakBefore w:val="0"/>
              <w:widowControl w:val="0"/>
              <w:kinsoku/>
              <w:wordWrap/>
              <w:overflowPunct/>
              <w:topLinePunct w:val="0"/>
              <w:autoSpaceDE/>
              <w:autoSpaceDN/>
              <w:bidi w:val="0"/>
              <w:adjustRightInd w:val="0"/>
              <w:snapToGrid w:val="0"/>
              <w:spacing w:line="240" w:lineRule="atLeast"/>
              <w:ind w:left="0" w:leftChars="0" w:firstLine="0" w:firstLineChars="0"/>
              <w:jc w:val="center"/>
              <w:textAlignment w:val="auto"/>
              <w:rPr>
                <w:rFonts w:hint="eastAsia" w:ascii="仿宋" w:hAnsi="仿宋" w:eastAsia="仿宋" w:cs="仿宋"/>
                <w:color w:val="auto"/>
                <w:sz w:val="24"/>
                <w:szCs w:val="24"/>
                <w:highlight w:val="none"/>
                <w:lang w:val="en-US" w:eastAsia="zh-CN"/>
              </w:rPr>
            </w:pPr>
          </w:p>
        </w:tc>
        <w:tc>
          <w:tcPr>
            <w:tcW w:w="3195" w:type="dxa"/>
            <w:vAlign w:val="center"/>
          </w:tcPr>
          <w:p w14:paraId="6BBD2F57">
            <w:pPr>
              <w:keepNext w:val="0"/>
              <w:keepLines w:val="0"/>
              <w:pageBreakBefore w:val="0"/>
              <w:widowControl w:val="0"/>
              <w:kinsoku/>
              <w:wordWrap/>
              <w:overflowPunct/>
              <w:topLinePunct w:val="0"/>
              <w:autoSpaceDE/>
              <w:autoSpaceDN/>
              <w:bidi w:val="0"/>
              <w:adjustRightInd w:val="0"/>
              <w:snapToGrid w:val="0"/>
              <w:spacing w:line="240" w:lineRule="atLeas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2.女子双人自由自选</w:t>
            </w:r>
          </w:p>
        </w:tc>
        <w:tc>
          <w:tcPr>
            <w:tcW w:w="1155" w:type="dxa"/>
            <w:vAlign w:val="center"/>
          </w:tcPr>
          <w:p w14:paraId="5C497E60">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2:30</w:t>
            </w:r>
          </w:p>
        </w:tc>
        <w:tc>
          <w:tcPr>
            <w:tcW w:w="2581" w:type="dxa"/>
            <w:vMerge w:val="continue"/>
            <w:vAlign w:val="center"/>
          </w:tcPr>
          <w:p w14:paraId="251C7A29">
            <w:pPr>
              <w:keepNext w:val="0"/>
              <w:keepLines w:val="0"/>
              <w:pageBreakBefore w:val="0"/>
              <w:widowControl w:val="0"/>
              <w:kinsoku/>
              <w:wordWrap/>
              <w:overflowPunct/>
              <w:topLinePunct w:val="0"/>
              <w:autoSpaceDE/>
              <w:autoSpaceDN/>
              <w:bidi w:val="0"/>
              <w:adjustRightInd w:val="0"/>
              <w:snapToGrid w:val="0"/>
              <w:spacing w:line="240" w:lineRule="atLeast"/>
              <w:ind w:firstLine="564"/>
              <w:textAlignment w:val="auto"/>
              <w:rPr>
                <w:rFonts w:hint="eastAsia" w:ascii="仿宋" w:hAnsi="仿宋" w:eastAsia="仿宋" w:cs="仿宋"/>
                <w:color w:val="auto"/>
                <w:sz w:val="24"/>
                <w:szCs w:val="24"/>
                <w:highlight w:val="none"/>
                <w:lang w:val="en-US" w:eastAsia="zh-CN"/>
              </w:rPr>
            </w:pPr>
          </w:p>
        </w:tc>
      </w:tr>
      <w:tr w14:paraId="2EE08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1549" w:type="dxa"/>
            <w:vMerge w:val="continue"/>
            <w:vAlign w:val="center"/>
          </w:tcPr>
          <w:p w14:paraId="0F36EDBA">
            <w:pPr>
              <w:keepNext w:val="0"/>
              <w:keepLines w:val="0"/>
              <w:pageBreakBefore w:val="0"/>
              <w:widowControl w:val="0"/>
              <w:kinsoku/>
              <w:wordWrap/>
              <w:overflowPunct/>
              <w:topLinePunct w:val="0"/>
              <w:autoSpaceDE/>
              <w:autoSpaceDN/>
              <w:bidi w:val="0"/>
              <w:adjustRightInd w:val="0"/>
              <w:snapToGrid w:val="0"/>
              <w:spacing w:line="240" w:lineRule="atLeast"/>
              <w:ind w:left="0" w:leftChars="0" w:firstLine="0" w:firstLineChars="0"/>
              <w:jc w:val="center"/>
              <w:textAlignment w:val="auto"/>
              <w:rPr>
                <w:rFonts w:hint="eastAsia" w:ascii="仿宋" w:hAnsi="仿宋" w:eastAsia="仿宋" w:cs="仿宋"/>
                <w:color w:val="auto"/>
                <w:sz w:val="24"/>
                <w:szCs w:val="24"/>
                <w:highlight w:val="none"/>
                <w:lang w:val="en-US" w:eastAsia="zh-CN"/>
              </w:rPr>
            </w:pPr>
          </w:p>
        </w:tc>
        <w:tc>
          <w:tcPr>
            <w:tcW w:w="3195" w:type="dxa"/>
            <w:vAlign w:val="center"/>
          </w:tcPr>
          <w:p w14:paraId="73AF28E5">
            <w:pPr>
              <w:keepNext w:val="0"/>
              <w:keepLines w:val="0"/>
              <w:pageBreakBefore w:val="0"/>
              <w:widowControl w:val="0"/>
              <w:kinsoku/>
              <w:wordWrap/>
              <w:overflowPunct/>
              <w:topLinePunct w:val="0"/>
              <w:autoSpaceDE/>
              <w:autoSpaceDN/>
              <w:bidi w:val="0"/>
              <w:adjustRightInd w:val="0"/>
              <w:snapToGrid w:val="0"/>
              <w:spacing w:line="240" w:lineRule="atLeas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3.混合双人自由自选</w:t>
            </w:r>
          </w:p>
        </w:tc>
        <w:tc>
          <w:tcPr>
            <w:tcW w:w="1155" w:type="dxa"/>
            <w:vAlign w:val="center"/>
          </w:tcPr>
          <w:p w14:paraId="1CA1188E">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2:30</w:t>
            </w:r>
          </w:p>
        </w:tc>
        <w:tc>
          <w:tcPr>
            <w:tcW w:w="2581" w:type="dxa"/>
            <w:vMerge w:val="continue"/>
            <w:vAlign w:val="center"/>
          </w:tcPr>
          <w:p w14:paraId="3B8A8572">
            <w:pPr>
              <w:keepNext w:val="0"/>
              <w:keepLines w:val="0"/>
              <w:pageBreakBefore w:val="0"/>
              <w:widowControl w:val="0"/>
              <w:kinsoku/>
              <w:wordWrap/>
              <w:overflowPunct/>
              <w:topLinePunct w:val="0"/>
              <w:autoSpaceDE/>
              <w:autoSpaceDN/>
              <w:bidi w:val="0"/>
              <w:adjustRightInd w:val="0"/>
              <w:snapToGrid w:val="0"/>
              <w:spacing w:line="240" w:lineRule="atLeast"/>
              <w:ind w:firstLine="564"/>
              <w:textAlignment w:val="auto"/>
              <w:rPr>
                <w:rFonts w:hint="eastAsia" w:ascii="仿宋" w:hAnsi="仿宋" w:eastAsia="仿宋" w:cs="仿宋"/>
                <w:color w:val="auto"/>
                <w:sz w:val="24"/>
                <w:szCs w:val="24"/>
                <w:highlight w:val="none"/>
                <w:lang w:val="en-US" w:eastAsia="zh-CN"/>
              </w:rPr>
            </w:pPr>
          </w:p>
        </w:tc>
      </w:tr>
      <w:tr w14:paraId="6D22C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1549" w:type="dxa"/>
            <w:vMerge w:val="continue"/>
            <w:vAlign w:val="center"/>
          </w:tcPr>
          <w:p w14:paraId="1AF85122">
            <w:pPr>
              <w:keepNext w:val="0"/>
              <w:keepLines w:val="0"/>
              <w:pageBreakBefore w:val="0"/>
              <w:widowControl w:val="0"/>
              <w:kinsoku/>
              <w:wordWrap/>
              <w:overflowPunct/>
              <w:topLinePunct w:val="0"/>
              <w:autoSpaceDE/>
              <w:autoSpaceDN/>
              <w:bidi w:val="0"/>
              <w:adjustRightInd w:val="0"/>
              <w:snapToGrid w:val="0"/>
              <w:spacing w:line="240" w:lineRule="atLeast"/>
              <w:ind w:left="0" w:leftChars="0" w:firstLine="0" w:firstLineChars="0"/>
              <w:jc w:val="center"/>
              <w:textAlignment w:val="auto"/>
              <w:rPr>
                <w:rFonts w:hint="eastAsia" w:ascii="仿宋" w:hAnsi="仿宋" w:eastAsia="仿宋" w:cs="仿宋"/>
                <w:color w:val="auto"/>
                <w:sz w:val="24"/>
                <w:szCs w:val="24"/>
                <w:highlight w:val="none"/>
                <w:lang w:val="en-US" w:eastAsia="zh-CN"/>
              </w:rPr>
            </w:pPr>
          </w:p>
        </w:tc>
        <w:tc>
          <w:tcPr>
            <w:tcW w:w="3195" w:type="dxa"/>
            <w:vAlign w:val="center"/>
          </w:tcPr>
          <w:p w14:paraId="1A5D973E">
            <w:pPr>
              <w:keepNext w:val="0"/>
              <w:keepLines w:val="0"/>
              <w:pageBreakBefore w:val="0"/>
              <w:widowControl w:val="0"/>
              <w:kinsoku/>
              <w:wordWrap/>
              <w:overflowPunct/>
              <w:topLinePunct w:val="0"/>
              <w:autoSpaceDE/>
              <w:autoSpaceDN/>
              <w:bidi w:val="0"/>
              <w:adjustRightInd w:val="0"/>
              <w:snapToGrid w:val="0"/>
              <w:spacing w:line="240" w:lineRule="atLeas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4.集体自由自选</w:t>
            </w:r>
          </w:p>
        </w:tc>
        <w:tc>
          <w:tcPr>
            <w:tcW w:w="1155" w:type="dxa"/>
            <w:vAlign w:val="center"/>
          </w:tcPr>
          <w:p w14:paraId="21661DBA">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3:00</w:t>
            </w:r>
          </w:p>
        </w:tc>
        <w:tc>
          <w:tcPr>
            <w:tcW w:w="2581" w:type="dxa"/>
            <w:vMerge w:val="continue"/>
            <w:vAlign w:val="center"/>
          </w:tcPr>
          <w:p w14:paraId="34893944">
            <w:pPr>
              <w:keepNext w:val="0"/>
              <w:keepLines w:val="0"/>
              <w:pageBreakBefore w:val="0"/>
              <w:widowControl w:val="0"/>
              <w:kinsoku/>
              <w:wordWrap/>
              <w:overflowPunct/>
              <w:topLinePunct w:val="0"/>
              <w:autoSpaceDE/>
              <w:autoSpaceDN/>
              <w:bidi w:val="0"/>
              <w:adjustRightInd w:val="0"/>
              <w:snapToGrid w:val="0"/>
              <w:spacing w:line="240" w:lineRule="atLeast"/>
              <w:ind w:firstLine="564"/>
              <w:textAlignment w:val="auto"/>
              <w:rPr>
                <w:rFonts w:hint="eastAsia" w:ascii="仿宋" w:hAnsi="仿宋" w:eastAsia="仿宋" w:cs="仿宋"/>
                <w:color w:val="auto"/>
                <w:sz w:val="24"/>
                <w:szCs w:val="24"/>
                <w:highlight w:val="none"/>
                <w:lang w:val="en-US" w:eastAsia="zh-CN"/>
              </w:rPr>
            </w:pPr>
          </w:p>
        </w:tc>
      </w:tr>
      <w:tr w14:paraId="560D6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9" w:type="dxa"/>
            <w:vMerge w:val="restart"/>
            <w:vAlign w:val="center"/>
          </w:tcPr>
          <w:p w14:paraId="7DBA5B89">
            <w:pPr>
              <w:keepNext w:val="0"/>
              <w:keepLines w:val="0"/>
              <w:pageBreakBefore w:val="0"/>
              <w:widowControl w:val="0"/>
              <w:kinsoku/>
              <w:wordWrap/>
              <w:overflowPunct/>
              <w:topLinePunct w:val="0"/>
              <w:autoSpaceDE/>
              <w:autoSpaceDN/>
              <w:bidi w:val="0"/>
              <w:adjustRightInd w:val="0"/>
              <w:snapToGrid w:val="0"/>
              <w:spacing w:line="240" w:lineRule="atLeast"/>
              <w:ind w:left="0" w:leftChars="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B组</w:t>
            </w:r>
          </w:p>
        </w:tc>
        <w:tc>
          <w:tcPr>
            <w:tcW w:w="4350" w:type="dxa"/>
            <w:gridSpan w:val="2"/>
            <w:vAlign w:val="center"/>
          </w:tcPr>
          <w:p w14:paraId="18DFD718">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tLeast"/>
              <w:textAlignment w:val="auto"/>
              <w:rPr>
                <w:rFonts w:hint="eastAsia"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val="en-US" w:eastAsia="zh-CN"/>
              </w:rPr>
              <w:t>全能项目</w:t>
            </w:r>
          </w:p>
          <w:p w14:paraId="16BE9EBE">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tLeas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（规定动作、200米自由泳、潜泳）</w:t>
            </w:r>
          </w:p>
        </w:tc>
        <w:tc>
          <w:tcPr>
            <w:tcW w:w="2581" w:type="dxa"/>
            <w:vAlign w:val="center"/>
          </w:tcPr>
          <w:p w14:paraId="661BA33C">
            <w:pPr>
              <w:keepNext w:val="0"/>
              <w:keepLines w:val="0"/>
              <w:pageBreakBefore w:val="0"/>
              <w:widowControl w:val="0"/>
              <w:kinsoku/>
              <w:wordWrap/>
              <w:overflowPunct/>
              <w:topLinePunct w:val="0"/>
              <w:autoSpaceDE/>
              <w:autoSpaceDN/>
              <w:bidi w:val="0"/>
              <w:adjustRightInd w:val="0"/>
              <w:snapToGrid w:val="0"/>
              <w:spacing w:line="240" w:lineRule="atLeas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采用《世界泳联花样游泳竞赛规则2022-2025》12岁以下组别规定动作</w:t>
            </w:r>
          </w:p>
        </w:tc>
      </w:tr>
      <w:tr w14:paraId="23F1F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1549" w:type="dxa"/>
            <w:vMerge w:val="continue"/>
            <w:vAlign w:val="center"/>
          </w:tcPr>
          <w:p w14:paraId="62A13D40">
            <w:pPr>
              <w:keepNext w:val="0"/>
              <w:keepLines w:val="0"/>
              <w:pageBreakBefore w:val="0"/>
              <w:widowControl w:val="0"/>
              <w:kinsoku/>
              <w:wordWrap/>
              <w:overflowPunct/>
              <w:topLinePunct w:val="0"/>
              <w:autoSpaceDE/>
              <w:autoSpaceDN/>
              <w:bidi w:val="0"/>
              <w:adjustRightInd w:val="0"/>
              <w:snapToGrid w:val="0"/>
              <w:spacing w:line="240" w:lineRule="atLeast"/>
              <w:ind w:left="0" w:leftChars="0" w:firstLine="0" w:firstLineChars="0"/>
              <w:jc w:val="center"/>
              <w:textAlignment w:val="auto"/>
              <w:rPr>
                <w:rFonts w:hint="eastAsia" w:ascii="仿宋" w:hAnsi="仿宋" w:eastAsia="仿宋" w:cs="仿宋"/>
                <w:color w:val="auto"/>
                <w:sz w:val="24"/>
                <w:szCs w:val="24"/>
                <w:highlight w:val="none"/>
                <w:lang w:val="en-US" w:eastAsia="zh-CN"/>
              </w:rPr>
            </w:pPr>
          </w:p>
        </w:tc>
        <w:tc>
          <w:tcPr>
            <w:tcW w:w="3195" w:type="dxa"/>
            <w:vAlign w:val="center"/>
          </w:tcPr>
          <w:p w14:paraId="36E2EC66">
            <w:pPr>
              <w:keepNext w:val="0"/>
              <w:keepLines w:val="0"/>
              <w:pageBreakBefore w:val="0"/>
              <w:widowControl w:val="0"/>
              <w:kinsoku/>
              <w:wordWrap/>
              <w:overflowPunct/>
              <w:topLinePunct w:val="0"/>
              <w:autoSpaceDE/>
              <w:autoSpaceDN/>
              <w:bidi w:val="0"/>
              <w:adjustRightInd w:val="0"/>
              <w:snapToGrid w:val="0"/>
              <w:spacing w:line="240" w:lineRule="atLeas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2.单人自由自选</w:t>
            </w:r>
          </w:p>
        </w:tc>
        <w:tc>
          <w:tcPr>
            <w:tcW w:w="1155" w:type="dxa"/>
            <w:vAlign w:val="center"/>
          </w:tcPr>
          <w:p w14:paraId="0723EDAC">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2:00</w:t>
            </w:r>
          </w:p>
        </w:tc>
        <w:tc>
          <w:tcPr>
            <w:tcW w:w="2581" w:type="dxa"/>
            <w:vMerge w:val="restart"/>
            <w:vAlign w:val="center"/>
          </w:tcPr>
          <w:p w14:paraId="4800B0C6">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音乐时间</w:t>
            </w:r>
          </w:p>
          <w:p w14:paraId="0C06EBC8">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（正负5秒）</w:t>
            </w:r>
          </w:p>
        </w:tc>
      </w:tr>
      <w:tr w14:paraId="35FB2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549" w:type="dxa"/>
            <w:vMerge w:val="continue"/>
            <w:vAlign w:val="center"/>
          </w:tcPr>
          <w:p w14:paraId="02913186">
            <w:pPr>
              <w:keepNext w:val="0"/>
              <w:keepLines w:val="0"/>
              <w:pageBreakBefore w:val="0"/>
              <w:widowControl w:val="0"/>
              <w:kinsoku/>
              <w:wordWrap/>
              <w:overflowPunct/>
              <w:topLinePunct w:val="0"/>
              <w:autoSpaceDE/>
              <w:autoSpaceDN/>
              <w:bidi w:val="0"/>
              <w:adjustRightInd w:val="0"/>
              <w:snapToGrid w:val="0"/>
              <w:spacing w:line="240" w:lineRule="atLeast"/>
              <w:ind w:left="0" w:leftChars="0" w:firstLine="0" w:firstLineChars="0"/>
              <w:jc w:val="center"/>
              <w:textAlignment w:val="auto"/>
              <w:rPr>
                <w:rFonts w:hint="eastAsia" w:ascii="仿宋" w:hAnsi="仿宋" w:eastAsia="仿宋" w:cs="仿宋"/>
                <w:color w:val="auto"/>
                <w:sz w:val="24"/>
                <w:szCs w:val="24"/>
                <w:highlight w:val="none"/>
                <w:lang w:val="en-US" w:eastAsia="zh-CN"/>
              </w:rPr>
            </w:pPr>
          </w:p>
        </w:tc>
        <w:tc>
          <w:tcPr>
            <w:tcW w:w="3195" w:type="dxa"/>
            <w:vAlign w:val="center"/>
          </w:tcPr>
          <w:p w14:paraId="1F748A71">
            <w:pPr>
              <w:keepNext w:val="0"/>
              <w:keepLines w:val="0"/>
              <w:pageBreakBefore w:val="0"/>
              <w:widowControl w:val="0"/>
              <w:kinsoku/>
              <w:wordWrap/>
              <w:overflowPunct/>
              <w:topLinePunct w:val="0"/>
              <w:autoSpaceDE/>
              <w:autoSpaceDN/>
              <w:bidi w:val="0"/>
              <w:adjustRightInd w:val="0"/>
              <w:snapToGrid w:val="0"/>
              <w:spacing w:line="240" w:lineRule="atLeas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3.双人（混双）自由自选</w:t>
            </w:r>
          </w:p>
        </w:tc>
        <w:tc>
          <w:tcPr>
            <w:tcW w:w="1155" w:type="dxa"/>
            <w:vAlign w:val="center"/>
          </w:tcPr>
          <w:p w14:paraId="51D7F960">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2:30</w:t>
            </w:r>
          </w:p>
        </w:tc>
        <w:tc>
          <w:tcPr>
            <w:tcW w:w="2581" w:type="dxa"/>
            <w:vMerge w:val="continue"/>
            <w:vAlign w:val="center"/>
          </w:tcPr>
          <w:p w14:paraId="7CE2D817">
            <w:pPr>
              <w:keepNext w:val="0"/>
              <w:keepLines w:val="0"/>
              <w:pageBreakBefore w:val="0"/>
              <w:widowControl w:val="0"/>
              <w:kinsoku/>
              <w:wordWrap/>
              <w:overflowPunct/>
              <w:topLinePunct w:val="0"/>
              <w:autoSpaceDE/>
              <w:autoSpaceDN/>
              <w:bidi w:val="0"/>
              <w:adjustRightInd w:val="0"/>
              <w:snapToGrid w:val="0"/>
              <w:spacing w:line="240" w:lineRule="atLeast"/>
              <w:ind w:firstLine="564"/>
              <w:jc w:val="center"/>
              <w:textAlignment w:val="auto"/>
              <w:rPr>
                <w:rFonts w:hint="eastAsia" w:ascii="仿宋" w:hAnsi="仿宋" w:eastAsia="仿宋" w:cs="仿宋"/>
                <w:color w:val="auto"/>
                <w:sz w:val="24"/>
                <w:szCs w:val="24"/>
                <w:highlight w:val="none"/>
                <w:lang w:val="en-US" w:eastAsia="zh-CN"/>
              </w:rPr>
            </w:pPr>
          </w:p>
        </w:tc>
      </w:tr>
      <w:tr w14:paraId="03C5A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1549" w:type="dxa"/>
            <w:vMerge w:val="continue"/>
            <w:vAlign w:val="center"/>
          </w:tcPr>
          <w:p w14:paraId="34F13DFE">
            <w:pPr>
              <w:keepNext w:val="0"/>
              <w:keepLines w:val="0"/>
              <w:pageBreakBefore w:val="0"/>
              <w:widowControl w:val="0"/>
              <w:kinsoku/>
              <w:wordWrap/>
              <w:overflowPunct/>
              <w:topLinePunct w:val="0"/>
              <w:autoSpaceDE/>
              <w:autoSpaceDN/>
              <w:bidi w:val="0"/>
              <w:adjustRightInd w:val="0"/>
              <w:snapToGrid w:val="0"/>
              <w:spacing w:line="240" w:lineRule="atLeast"/>
              <w:ind w:left="0" w:leftChars="0" w:firstLine="0" w:firstLineChars="0"/>
              <w:jc w:val="center"/>
              <w:textAlignment w:val="auto"/>
              <w:rPr>
                <w:rFonts w:hint="eastAsia" w:ascii="仿宋" w:hAnsi="仿宋" w:eastAsia="仿宋" w:cs="仿宋"/>
                <w:color w:val="auto"/>
                <w:sz w:val="24"/>
                <w:szCs w:val="24"/>
                <w:highlight w:val="none"/>
                <w:lang w:val="en-US" w:eastAsia="zh-CN"/>
              </w:rPr>
            </w:pPr>
          </w:p>
        </w:tc>
        <w:tc>
          <w:tcPr>
            <w:tcW w:w="3195" w:type="dxa"/>
            <w:vAlign w:val="center"/>
          </w:tcPr>
          <w:p w14:paraId="7B1C1DEB">
            <w:pPr>
              <w:keepNext w:val="0"/>
              <w:keepLines w:val="0"/>
              <w:pageBreakBefore w:val="0"/>
              <w:widowControl w:val="0"/>
              <w:kinsoku/>
              <w:wordWrap/>
              <w:overflowPunct/>
              <w:topLinePunct w:val="0"/>
              <w:autoSpaceDE/>
              <w:autoSpaceDN/>
              <w:bidi w:val="0"/>
              <w:adjustRightInd w:val="0"/>
              <w:snapToGrid w:val="0"/>
              <w:spacing w:line="240" w:lineRule="atLeas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4.集体自由自选</w:t>
            </w:r>
          </w:p>
        </w:tc>
        <w:tc>
          <w:tcPr>
            <w:tcW w:w="1155" w:type="dxa"/>
            <w:vAlign w:val="center"/>
          </w:tcPr>
          <w:p w14:paraId="205DD4E2">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3:00</w:t>
            </w:r>
          </w:p>
        </w:tc>
        <w:tc>
          <w:tcPr>
            <w:tcW w:w="2581" w:type="dxa"/>
            <w:vMerge w:val="continue"/>
            <w:vAlign w:val="center"/>
          </w:tcPr>
          <w:p w14:paraId="46AFEC98">
            <w:pPr>
              <w:keepNext w:val="0"/>
              <w:keepLines w:val="0"/>
              <w:pageBreakBefore w:val="0"/>
              <w:widowControl w:val="0"/>
              <w:kinsoku/>
              <w:wordWrap/>
              <w:overflowPunct/>
              <w:topLinePunct w:val="0"/>
              <w:autoSpaceDE/>
              <w:autoSpaceDN/>
              <w:bidi w:val="0"/>
              <w:adjustRightInd w:val="0"/>
              <w:snapToGrid w:val="0"/>
              <w:spacing w:line="240" w:lineRule="atLeast"/>
              <w:ind w:firstLine="564"/>
              <w:jc w:val="center"/>
              <w:textAlignment w:val="auto"/>
              <w:rPr>
                <w:rFonts w:hint="eastAsia" w:ascii="仿宋" w:hAnsi="仿宋" w:eastAsia="仿宋" w:cs="仿宋"/>
                <w:color w:val="auto"/>
                <w:sz w:val="24"/>
                <w:szCs w:val="24"/>
                <w:highlight w:val="none"/>
                <w:lang w:val="en-US" w:eastAsia="zh-CN"/>
              </w:rPr>
            </w:pPr>
          </w:p>
        </w:tc>
      </w:tr>
      <w:tr w14:paraId="17C2A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9" w:type="dxa"/>
            <w:vAlign w:val="center"/>
          </w:tcPr>
          <w:p w14:paraId="7909EA5F">
            <w:pPr>
              <w:keepNext w:val="0"/>
              <w:keepLines w:val="0"/>
              <w:pageBreakBefore w:val="0"/>
              <w:widowControl w:val="0"/>
              <w:kinsoku/>
              <w:wordWrap/>
              <w:overflowPunct/>
              <w:topLinePunct w:val="0"/>
              <w:autoSpaceDE/>
              <w:autoSpaceDN/>
              <w:bidi w:val="0"/>
              <w:adjustRightInd w:val="0"/>
              <w:snapToGrid w:val="0"/>
              <w:spacing w:line="240" w:lineRule="atLeast"/>
              <w:ind w:left="0" w:leftChars="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AB组</w:t>
            </w:r>
          </w:p>
        </w:tc>
        <w:tc>
          <w:tcPr>
            <w:tcW w:w="3195" w:type="dxa"/>
            <w:vAlign w:val="center"/>
          </w:tcPr>
          <w:p w14:paraId="21D33180">
            <w:pPr>
              <w:keepNext w:val="0"/>
              <w:keepLines w:val="0"/>
              <w:pageBreakBefore w:val="0"/>
              <w:widowControl w:val="0"/>
              <w:kinsoku/>
              <w:wordWrap/>
              <w:overflowPunct/>
              <w:topLinePunct w:val="0"/>
              <w:autoSpaceDE/>
              <w:autoSpaceDN/>
              <w:bidi w:val="0"/>
              <w:adjustRightInd w:val="0"/>
              <w:snapToGrid w:val="0"/>
              <w:spacing w:line="240" w:lineRule="atLeas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1.自由组合</w:t>
            </w:r>
          </w:p>
        </w:tc>
        <w:tc>
          <w:tcPr>
            <w:tcW w:w="1155" w:type="dxa"/>
            <w:vAlign w:val="center"/>
          </w:tcPr>
          <w:p w14:paraId="47202DEB">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3:00</w:t>
            </w:r>
          </w:p>
        </w:tc>
        <w:tc>
          <w:tcPr>
            <w:tcW w:w="2581" w:type="dxa"/>
            <w:vAlign w:val="center"/>
          </w:tcPr>
          <w:p w14:paraId="2485FE7C">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音乐时间</w:t>
            </w:r>
          </w:p>
          <w:p w14:paraId="1E131240">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（正负5秒）</w:t>
            </w:r>
          </w:p>
        </w:tc>
      </w:tr>
    </w:tbl>
    <w:p w14:paraId="74F72D4F">
      <w:pPr>
        <w:keepNext w:val="0"/>
        <w:keepLines w:val="0"/>
        <w:pageBreakBefore w:val="0"/>
        <w:widowControl w:val="0"/>
        <w:kinsoku/>
        <w:wordWrap/>
        <w:autoSpaceDE/>
        <w:autoSpaceDN/>
        <w:bidi w:val="0"/>
        <w:adjustRightInd w:val="0"/>
        <w:snapToGrid w:val="0"/>
        <w:spacing w:line="540" w:lineRule="exact"/>
        <w:ind w:firstLine="564"/>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B组（包括AB组自由组合中的B组运动员）必须参加规定动作项目比赛，单人项目为规定动作+单人自由自选，双人项目为规定动作+女子双人（混双）自由自选，集体项目为规定动作+集体自由自选，全能项目为规定动作+200米自由泳+潜泳。</w:t>
      </w:r>
    </w:p>
    <w:p w14:paraId="45A7CB5C">
      <w:pPr>
        <w:keepNext w:val="0"/>
        <w:keepLines w:val="0"/>
        <w:pageBreakBefore w:val="0"/>
        <w:widowControl w:val="0"/>
        <w:kinsoku/>
        <w:wordWrap/>
        <w:autoSpaceDE/>
        <w:autoSpaceDN/>
        <w:bidi w:val="0"/>
        <w:adjustRightInd w:val="0"/>
        <w:snapToGrid w:val="0"/>
        <w:spacing w:line="540" w:lineRule="exact"/>
        <w:ind w:firstLine="564"/>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（六）全能项目竞赛办法</w:t>
      </w:r>
    </w:p>
    <w:p w14:paraId="17007B21">
      <w:pPr>
        <w:keepNext w:val="0"/>
        <w:keepLines w:val="0"/>
        <w:pageBreakBefore w:val="0"/>
        <w:widowControl w:val="0"/>
        <w:kinsoku/>
        <w:wordWrap/>
        <w:autoSpaceDE/>
        <w:autoSpaceDN/>
        <w:bidi w:val="0"/>
        <w:adjustRightInd w:val="0"/>
        <w:snapToGrid w:val="0"/>
        <w:spacing w:line="540" w:lineRule="exact"/>
        <w:ind w:firstLine="564"/>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1、200米自由泳：</w:t>
      </w:r>
      <w:r>
        <w:rPr>
          <w:rFonts w:hint="eastAsia" w:ascii="仿宋" w:hAnsi="仿宋" w:eastAsia="仿宋" w:cs="仿宋"/>
          <w:color w:val="auto"/>
          <w:sz w:val="28"/>
          <w:szCs w:val="28"/>
          <w:highlight w:val="none"/>
          <w:lang w:val="en-US" w:eastAsia="zh-Hans"/>
        </w:rPr>
        <w:t>按游泳规则执行</w:t>
      </w:r>
      <w:r>
        <w:rPr>
          <w:rFonts w:hint="eastAsia" w:ascii="仿宋" w:hAnsi="仿宋" w:eastAsia="仿宋" w:cs="仿宋"/>
          <w:color w:val="auto"/>
          <w:sz w:val="28"/>
          <w:szCs w:val="28"/>
          <w:highlight w:val="none"/>
          <w:lang w:val="en-US" w:eastAsia="zh-CN"/>
        </w:rPr>
        <w:t>，出发动作可按跳发或水下出发，成绩以最终时间排名，按比例换算为得分。</w:t>
      </w:r>
    </w:p>
    <w:p w14:paraId="331F0EEC">
      <w:pPr>
        <w:keepNext w:val="0"/>
        <w:keepLines w:val="0"/>
        <w:pageBreakBefore w:val="0"/>
        <w:widowControl w:val="0"/>
        <w:numPr>
          <w:ilvl w:val="0"/>
          <w:numId w:val="1"/>
        </w:numPr>
        <w:kinsoku/>
        <w:wordWrap/>
        <w:autoSpaceDE/>
        <w:autoSpaceDN/>
        <w:bidi w:val="0"/>
        <w:adjustRightInd w:val="0"/>
        <w:snapToGrid w:val="0"/>
        <w:spacing w:line="540" w:lineRule="exact"/>
        <w:ind w:firstLine="564"/>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潜泳规则：运动员需在单次闭气内完成潜泳，距离以米为计量单位（精确至1米）。允许使用任何姿势，成绩以最终潜泳距离排名，按比例换算为得分。</w:t>
      </w:r>
    </w:p>
    <w:p w14:paraId="382C6CC3">
      <w:pPr>
        <w:keepNext w:val="0"/>
        <w:keepLines w:val="0"/>
        <w:pageBreakBefore w:val="0"/>
        <w:widowControl w:val="0"/>
        <w:numPr>
          <w:ilvl w:val="0"/>
          <w:numId w:val="1"/>
        </w:numPr>
        <w:kinsoku/>
        <w:wordWrap/>
        <w:autoSpaceDE/>
        <w:autoSpaceDN/>
        <w:bidi w:val="0"/>
        <w:adjustRightInd w:val="0"/>
        <w:snapToGrid w:val="0"/>
        <w:spacing w:line="540" w:lineRule="exact"/>
        <w:ind w:firstLine="564"/>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规定动作：</w:t>
      </w:r>
      <w:r>
        <w:rPr>
          <w:rFonts w:hint="eastAsia" w:ascii="仿宋" w:hAnsi="仿宋" w:eastAsia="仿宋" w:cs="仿宋"/>
          <w:color w:val="auto"/>
          <w:sz w:val="28"/>
          <w:szCs w:val="28"/>
          <w:highlight w:val="none"/>
        </w:rPr>
        <w:t>采用《世界泳联花样游泳竞赛规则2022-2025》12岁以下组别规定动作</w:t>
      </w:r>
      <w:r>
        <w:rPr>
          <w:rFonts w:hint="eastAsia" w:ascii="仿宋" w:hAnsi="仿宋" w:eastAsia="仿宋" w:cs="仿宋"/>
          <w:color w:val="auto"/>
          <w:sz w:val="28"/>
          <w:szCs w:val="28"/>
          <w:highlight w:val="none"/>
          <w:lang w:val="en-US" w:eastAsia="zh-CN"/>
        </w:rPr>
        <w:t>。</w:t>
      </w:r>
    </w:p>
    <w:p w14:paraId="61B55678">
      <w:pPr>
        <w:keepNext w:val="0"/>
        <w:keepLines w:val="0"/>
        <w:pageBreakBefore w:val="0"/>
        <w:widowControl w:val="0"/>
        <w:kinsoku/>
        <w:wordWrap/>
        <w:autoSpaceDE/>
        <w:autoSpaceDN/>
        <w:bidi w:val="0"/>
        <w:adjustRightInd w:val="0"/>
        <w:snapToGrid w:val="0"/>
        <w:spacing w:line="540" w:lineRule="exact"/>
        <w:ind w:firstLine="564"/>
        <w:textAlignment w:val="auto"/>
        <w:rPr>
          <w:rFonts w:hint="eastAsia" w:ascii="仿宋" w:hAnsi="仿宋" w:eastAsia="仿宋" w:cs="仿宋"/>
          <w:color w:val="auto"/>
          <w:sz w:val="28"/>
          <w:szCs w:val="28"/>
          <w:highlight w:val="none"/>
          <w:lang w:val="en-US" w:eastAsia="zh-CN"/>
        </w:rPr>
      </w:pPr>
    </w:p>
    <w:p w14:paraId="3D1FFBFD">
      <w:pPr>
        <w:keepNext w:val="0"/>
        <w:keepLines w:val="0"/>
        <w:pageBreakBefore w:val="0"/>
        <w:widowControl w:val="0"/>
        <w:kinsoku/>
        <w:wordWrap/>
        <w:autoSpaceDE/>
        <w:autoSpaceDN/>
        <w:bidi w:val="0"/>
        <w:adjustRightInd w:val="0"/>
        <w:snapToGrid w:val="0"/>
        <w:spacing w:line="540" w:lineRule="exact"/>
        <w:ind w:firstLine="564"/>
        <w:textAlignment w:val="auto"/>
        <w:rPr>
          <w:rFonts w:hint="eastAsia" w:ascii="仿宋" w:hAnsi="仿宋" w:eastAsia="仿宋" w:cs="仿宋"/>
          <w:color w:val="auto"/>
          <w:sz w:val="28"/>
          <w:szCs w:val="28"/>
          <w:highlight w:val="none"/>
          <w:lang w:val="en-US" w:eastAsia="zh-CN"/>
        </w:rPr>
      </w:pPr>
      <w:bookmarkStart w:id="2" w:name="_GoBack"/>
      <w:bookmarkEnd w:id="2"/>
      <w:r>
        <w:rPr>
          <w:rFonts w:hint="eastAsia" w:ascii="仿宋" w:hAnsi="仿宋" w:eastAsia="仿宋" w:cs="仿宋"/>
          <w:color w:val="auto"/>
          <w:sz w:val="28"/>
          <w:szCs w:val="28"/>
          <w:highlight w:val="none"/>
          <w:lang w:val="en-US" w:eastAsia="zh-CN"/>
        </w:rPr>
        <w:t>（七）规定动作竞赛办法</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27"/>
        <w:gridCol w:w="2827"/>
        <w:gridCol w:w="2621"/>
      </w:tblGrid>
      <w:tr w14:paraId="27A19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827" w:type="dxa"/>
            <w:tcBorders>
              <w:bottom w:val="single" w:color="auto" w:sz="4" w:space="0"/>
            </w:tcBorders>
            <w:vAlign w:val="center"/>
          </w:tcPr>
          <w:p w14:paraId="4985A7EC">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color w:val="auto"/>
                <w:sz w:val="24"/>
                <w:szCs w:val="24"/>
                <w:highlight w:val="none"/>
                <w:lang w:val="en-US" w:eastAsia="zh-Hans"/>
              </w:rPr>
            </w:pPr>
            <w:r>
              <w:rPr>
                <w:rFonts w:hint="eastAsia" w:ascii="仿宋" w:hAnsi="仿宋" w:eastAsia="仿宋" w:cs="仿宋"/>
                <w:color w:val="auto"/>
                <w:sz w:val="24"/>
                <w:szCs w:val="24"/>
                <w:highlight w:val="none"/>
                <w:lang w:val="en-US" w:eastAsia="zh-CN"/>
              </w:rPr>
              <w:t>B</w:t>
            </w:r>
            <w:r>
              <w:rPr>
                <w:rFonts w:hint="eastAsia" w:ascii="仿宋" w:hAnsi="仿宋" w:eastAsia="仿宋" w:cs="仿宋"/>
                <w:color w:val="auto"/>
                <w:sz w:val="24"/>
                <w:szCs w:val="24"/>
                <w:highlight w:val="none"/>
                <w:lang w:val="en-US" w:eastAsia="zh-Hans"/>
              </w:rPr>
              <w:t>组&amp;规定动作</w:t>
            </w:r>
          </w:p>
        </w:tc>
        <w:tc>
          <w:tcPr>
            <w:tcW w:w="2827" w:type="dxa"/>
            <w:tcBorders>
              <w:bottom w:val="single" w:color="auto" w:sz="4" w:space="0"/>
            </w:tcBorders>
            <w:vAlign w:val="center"/>
          </w:tcPr>
          <w:p w14:paraId="4B63C25F">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color w:val="auto"/>
                <w:sz w:val="24"/>
                <w:szCs w:val="24"/>
                <w:highlight w:val="none"/>
                <w:lang w:val="en-US" w:eastAsia="zh-Hans"/>
              </w:rPr>
            </w:pPr>
            <w:r>
              <w:rPr>
                <w:rFonts w:hint="eastAsia" w:ascii="仿宋" w:hAnsi="仿宋" w:eastAsia="仿宋" w:cs="仿宋"/>
                <w:color w:val="auto"/>
                <w:sz w:val="24"/>
                <w:szCs w:val="24"/>
                <w:highlight w:val="none"/>
                <w:lang w:val="en-US" w:eastAsia="zh-Hans"/>
              </w:rPr>
              <w:t>规定名称</w:t>
            </w:r>
          </w:p>
        </w:tc>
        <w:tc>
          <w:tcPr>
            <w:tcW w:w="2621" w:type="dxa"/>
            <w:tcBorders>
              <w:bottom w:val="single" w:color="auto" w:sz="4" w:space="0"/>
            </w:tcBorders>
            <w:vAlign w:val="center"/>
          </w:tcPr>
          <w:p w14:paraId="415D580D">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color w:val="auto"/>
                <w:sz w:val="24"/>
                <w:szCs w:val="24"/>
                <w:highlight w:val="none"/>
                <w:lang w:val="en-US" w:eastAsia="zh-Hans"/>
              </w:rPr>
            </w:pPr>
            <w:r>
              <w:rPr>
                <w:rFonts w:hint="eastAsia" w:ascii="仿宋" w:hAnsi="仿宋" w:eastAsia="仿宋" w:cs="仿宋"/>
                <w:color w:val="auto"/>
                <w:sz w:val="24"/>
                <w:szCs w:val="24"/>
                <w:highlight w:val="none"/>
                <w:lang w:val="en-US" w:eastAsia="zh-Hans"/>
              </w:rPr>
              <w:t>难度系数</w:t>
            </w:r>
          </w:p>
        </w:tc>
      </w:tr>
      <w:tr w14:paraId="45BC0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75" w:type="dxa"/>
            <w:gridSpan w:val="3"/>
            <w:tcBorders>
              <w:top w:val="single" w:color="auto" w:sz="4" w:space="0"/>
              <w:left w:val="single" w:color="auto" w:sz="4" w:space="0"/>
              <w:bottom w:val="single" w:color="auto" w:sz="4" w:space="0"/>
              <w:right w:val="single" w:color="auto" w:sz="4" w:space="0"/>
            </w:tcBorders>
            <w:vAlign w:val="center"/>
          </w:tcPr>
          <w:p w14:paraId="58F16918">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Hans"/>
              </w:rPr>
              <w:t>必做动作</w:t>
            </w:r>
          </w:p>
        </w:tc>
      </w:tr>
      <w:tr w14:paraId="1B389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827" w:type="dxa"/>
            <w:tcBorders>
              <w:top w:val="single" w:color="auto" w:sz="4" w:space="0"/>
            </w:tcBorders>
            <w:vAlign w:val="center"/>
          </w:tcPr>
          <w:p w14:paraId="127127FC">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106</w:t>
            </w:r>
          </w:p>
        </w:tc>
        <w:tc>
          <w:tcPr>
            <w:tcW w:w="2827" w:type="dxa"/>
            <w:tcBorders>
              <w:top w:val="single" w:color="auto" w:sz="4" w:space="0"/>
            </w:tcBorders>
            <w:vAlign w:val="center"/>
          </w:tcPr>
          <w:p w14:paraId="6D6ED2DC">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color w:val="auto"/>
                <w:sz w:val="24"/>
                <w:szCs w:val="24"/>
                <w:highlight w:val="none"/>
                <w:lang w:val="en-US" w:eastAsia="zh-Hans"/>
              </w:rPr>
            </w:pPr>
            <w:r>
              <w:rPr>
                <w:rFonts w:hint="eastAsia" w:ascii="仿宋" w:hAnsi="仿宋" w:eastAsia="仿宋" w:cs="仿宋"/>
                <w:color w:val="auto"/>
                <w:sz w:val="24"/>
                <w:szCs w:val="24"/>
                <w:highlight w:val="none"/>
                <w:lang w:val="en-US" w:eastAsia="zh-Hans"/>
              </w:rPr>
              <w:t>直腿起芭蕾腿</w:t>
            </w:r>
          </w:p>
        </w:tc>
        <w:tc>
          <w:tcPr>
            <w:tcW w:w="2621" w:type="dxa"/>
            <w:tcBorders>
              <w:top w:val="single" w:color="auto" w:sz="4" w:space="0"/>
            </w:tcBorders>
            <w:vAlign w:val="center"/>
          </w:tcPr>
          <w:p w14:paraId="3E07D401">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color w:val="auto"/>
                <w:sz w:val="24"/>
                <w:szCs w:val="24"/>
                <w:highlight w:val="none"/>
                <w:lang w:val="en-US" w:eastAsia="zh-Hans"/>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val="en-US" w:eastAsia="zh-Hans"/>
              </w:rPr>
              <w:t>.6</w:t>
            </w:r>
          </w:p>
        </w:tc>
      </w:tr>
      <w:tr w14:paraId="5B870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827" w:type="dxa"/>
            <w:tcBorders>
              <w:bottom w:val="single" w:color="auto" w:sz="4" w:space="0"/>
            </w:tcBorders>
            <w:vAlign w:val="center"/>
          </w:tcPr>
          <w:p w14:paraId="6D4FF634">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301</w:t>
            </w:r>
          </w:p>
        </w:tc>
        <w:tc>
          <w:tcPr>
            <w:tcW w:w="2827" w:type="dxa"/>
            <w:tcBorders>
              <w:bottom w:val="single" w:color="auto" w:sz="4" w:space="0"/>
            </w:tcBorders>
            <w:vAlign w:val="center"/>
          </w:tcPr>
          <w:p w14:paraId="11DD89F6">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color w:val="auto"/>
                <w:sz w:val="24"/>
                <w:szCs w:val="24"/>
                <w:highlight w:val="none"/>
                <w:lang w:val="en-US" w:eastAsia="zh-Hans"/>
              </w:rPr>
            </w:pPr>
            <w:r>
              <w:rPr>
                <w:rFonts w:hint="eastAsia" w:ascii="仿宋" w:hAnsi="仿宋" w:eastAsia="仿宋" w:cs="仿宋"/>
                <w:color w:val="auto"/>
                <w:sz w:val="24"/>
                <w:szCs w:val="24"/>
                <w:highlight w:val="none"/>
                <w:lang w:val="en-US" w:eastAsia="zh-Hans"/>
              </w:rPr>
              <w:t>梭鱼冲起</w:t>
            </w:r>
          </w:p>
        </w:tc>
        <w:tc>
          <w:tcPr>
            <w:tcW w:w="2621" w:type="dxa"/>
            <w:tcBorders>
              <w:bottom w:val="single" w:color="auto" w:sz="4" w:space="0"/>
            </w:tcBorders>
            <w:vAlign w:val="center"/>
          </w:tcPr>
          <w:p w14:paraId="0A74398C">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color w:val="auto"/>
                <w:sz w:val="24"/>
                <w:szCs w:val="24"/>
                <w:highlight w:val="none"/>
                <w:lang w:val="en-US" w:eastAsia="zh-Hans"/>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val="en-US" w:eastAsia="zh-Hans"/>
              </w:rPr>
              <w:t>.8</w:t>
            </w:r>
          </w:p>
        </w:tc>
      </w:tr>
      <w:tr w14:paraId="183EE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75" w:type="dxa"/>
            <w:gridSpan w:val="3"/>
            <w:tcBorders>
              <w:top w:val="single" w:color="auto" w:sz="4" w:space="0"/>
              <w:left w:val="single" w:color="auto" w:sz="4" w:space="0"/>
              <w:bottom w:val="single" w:color="auto" w:sz="4" w:space="0"/>
              <w:right w:val="single" w:color="auto" w:sz="4" w:space="0"/>
            </w:tcBorders>
            <w:vAlign w:val="center"/>
          </w:tcPr>
          <w:p w14:paraId="7421D75A">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Hans"/>
              </w:rPr>
              <w:t>选做组</w:t>
            </w:r>
          </w:p>
        </w:tc>
      </w:tr>
      <w:tr w14:paraId="45220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827" w:type="dxa"/>
            <w:tcBorders>
              <w:top w:val="single" w:color="auto" w:sz="4" w:space="0"/>
            </w:tcBorders>
            <w:vAlign w:val="center"/>
          </w:tcPr>
          <w:p w14:paraId="1A9C689F">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color w:val="auto"/>
                <w:sz w:val="24"/>
                <w:szCs w:val="24"/>
                <w:highlight w:val="none"/>
                <w:lang w:val="en-US" w:eastAsia="zh-Hans"/>
              </w:rPr>
            </w:pPr>
            <w:r>
              <w:rPr>
                <w:rFonts w:hint="eastAsia" w:ascii="仿宋" w:hAnsi="仿宋" w:eastAsia="仿宋" w:cs="仿宋"/>
                <w:color w:val="auto"/>
                <w:sz w:val="24"/>
                <w:szCs w:val="24"/>
                <w:highlight w:val="none"/>
                <w:lang w:val="en-US" w:eastAsia="zh-Hans"/>
              </w:rPr>
              <w:t>第一组</w:t>
            </w:r>
          </w:p>
        </w:tc>
        <w:tc>
          <w:tcPr>
            <w:tcW w:w="2827" w:type="dxa"/>
            <w:tcBorders>
              <w:top w:val="single" w:color="auto" w:sz="4" w:space="0"/>
            </w:tcBorders>
            <w:vAlign w:val="center"/>
          </w:tcPr>
          <w:p w14:paraId="0854D808">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color w:val="auto"/>
                <w:sz w:val="24"/>
                <w:szCs w:val="24"/>
                <w:highlight w:val="none"/>
                <w:lang w:val="en-US" w:eastAsia="zh-CN"/>
              </w:rPr>
            </w:pPr>
          </w:p>
        </w:tc>
        <w:tc>
          <w:tcPr>
            <w:tcW w:w="2621" w:type="dxa"/>
            <w:tcBorders>
              <w:top w:val="single" w:color="auto" w:sz="4" w:space="0"/>
            </w:tcBorders>
            <w:vAlign w:val="center"/>
          </w:tcPr>
          <w:p w14:paraId="33EE7597">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color w:val="auto"/>
                <w:sz w:val="24"/>
                <w:szCs w:val="24"/>
                <w:highlight w:val="none"/>
                <w:lang w:val="en-US" w:eastAsia="zh-CN"/>
              </w:rPr>
            </w:pPr>
          </w:p>
        </w:tc>
      </w:tr>
      <w:tr w14:paraId="08682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827" w:type="dxa"/>
            <w:vAlign w:val="center"/>
          </w:tcPr>
          <w:p w14:paraId="0D1BFA5A">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359</w:t>
            </w:r>
          </w:p>
        </w:tc>
        <w:tc>
          <w:tcPr>
            <w:tcW w:w="2827" w:type="dxa"/>
            <w:vAlign w:val="center"/>
          </w:tcPr>
          <w:p w14:paraId="22DA7615">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color w:val="auto"/>
                <w:sz w:val="24"/>
                <w:szCs w:val="24"/>
                <w:highlight w:val="none"/>
                <w:lang w:val="en-US" w:eastAsia="zh-Hans"/>
              </w:rPr>
            </w:pPr>
            <w:r>
              <w:rPr>
                <w:rFonts w:hint="eastAsia" w:ascii="仿宋" w:hAnsi="仿宋" w:eastAsia="仿宋" w:cs="仿宋"/>
                <w:color w:val="auto"/>
                <w:sz w:val="24"/>
                <w:szCs w:val="24"/>
                <w:highlight w:val="none"/>
                <w:lang w:val="en-US" w:eastAsia="zh-Hans"/>
              </w:rPr>
              <w:t>向前阿瑞尔娜</w:t>
            </w:r>
          </w:p>
        </w:tc>
        <w:tc>
          <w:tcPr>
            <w:tcW w:w="2621" w:type="dxa"/>
            <w:vAlign w:val="center"/>
          </w:tcPr>
          <w:p w14:paraId="053ECF78">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color w:val="auto"/>
                <w:sz w:val="24"/>
                <w:szCs w:val="24"/>
                <w:highlight w:val="none"/>
                <w:lang w:val="en-US" w:eastAsia="zh-Hans"/>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lang w:val="en-US" w:eastAsia="zh-Hans"/>
              </w:rPr>
              <w:t>.2</w:t>
            </w:r>
          </w:p>
        </w:tc>
      </w:tr>
      <w:tr w14:paraId="03FB2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827" w:type="dxa"/>
            <w:vAlign w:val="center"/>
          </w:tcPr>
          <w:p w14:paraId="427ED8B4">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348</w:t>
            </w:r>
          </w:p>
        </w:tc>
        <w:tc>
          <w:tcPr>
            <w:tcW w:w="2827" w:type="dxa"/>
            <w:vAlign w:val="center"/>
          </w:tcPr>
          <w:p w14:paraId="421984A6">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color w:val="auto"/>
                <w:sz w:val="24"/>
                <w:szCs w:val="24"/>
                <w:highlight w:val="none"/>
                <w:lang w:val="en-US" w:eastAsia="zh-Hans"/>
              </w:rPr>
            </w:pPr>
            <w:r>
              <w:rPr>
                <w:rFonts w:hint="eastAsia" w:ascii="仿宋" w:hAnsi="仿宋" w:eastAsia="仿宋" w:cs="仿宋"/>
                <w:color w:val="auto"/>
                <w:sz w:val="24"/>
                <w:szCs w:val="24"/>
                <w:highlight w:val="none"/>
                <w:lang w:val="en-US" w:eastAsia="zh-Hans"/>
              </w:rPr>
              <w:t>塔式</w:t>
            </w:r>
          </w:p>
        </w:tc>
        <w:tc>
          <w:tcPr>
            <w:tcW w:w="2621" w:type="dxa"/>
            <w:vAlign w:val="center"/>
          </w:tcPr>
          <w:p w14:paraId="670EFA16">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color w:val="auto"/>
                <w:sz w:val="24"/>
                <w:szCs w:val="24"/>
                <w:highlight w:val="none"/>
                <w:lang w:val="en-US" w:eastAsia="zh-Hans"/>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val="en-US" w:eastAsia="zh-Hans"/>
              </w:rPr>
              <w:t>.9</w:t>
            </w:r>
          </w:p>
        </w:tc>
      </w:tr>
      <w:tr w14:paraId="28192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827" w:type="dxa"/>
            <w:vAlign w:val="center"/>
          </w:tcPr>
          <w:p w14:paraId="18B25272">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color w:val="auto"/>
                <w:sz w:val="24"/>
                <w:szCs w:val="24"/>
                <w:highlight w:val="none"/>
                <w:lang w:val="en-US" w:eastAsia="zh-Hans"/>
              </w:rPr>
            </w:pPr>
            <w:r>
              <w:rPr>
                <w:rFonts w:hint="eastAsia" w:ascii="仿宋" w:hAnsi="仿宋" w:eastAsia="仿宋" w:cs="仿宋"/>
                <w:color w:val="auto"/>
                <w:sz w:val="24"/>
                <w:szCs w:val="24"/>
                <w:highlight w:val="none"/>
                <w:lang w:val="en-US" w:eastAsia="zh-Hans"/>
              </w:rPr>
              <w:t>第二组</w:t>
            </w:r>
          </w:p>
        </w:tc>
        <w:tc>
          <w:tcPr>
            <w:tcW w:w="2827" w:type="dxa"/>
            <w:vAlign w:val="center"/>
          </w:tcPr>
          <w:p w14:paraId="20972D1A">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color w:val="auto"/>
                <w:sz w:val="24"/>
                <w:szCs w:val="24"/>
                <w:highlight w:val="none"/>
                <w:lang w:val="en-US" w:eastAsia="zh-CN"/>
              </w:rPr>
            </w:pPr>
          </w:p>
        </w:tc>
        <w:tc>
          <w:tcPr>
            <w:tcW w:w="2621" w:type="dxa"/>
            <w:vAlign w:val="center"/>
          </w:tcPr>
          <w:p w14:paraId="5924EA0B">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color w:val="auto"/>
                <w:sz w:val="24"/>
                <w:szCs w:val="24"/>
                <w:highlight w:val="none"/>
                <w:lang w:val="en-US" w:eastAsia="zh-CN"/>
              </w:rPr>
            </w:pPr>
          </w:p>
        </w:tc>
      </w:tr>
      <w:tr w14:paraId="3BE05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827" w:type="dxa"/>
            <w:vAlign w:val="center"/>
          </w:tcPr>
          <w:p w14:paraId="54DAAE25">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color w:val="auto"/>
                <w:sz w:val="24"/>
                <w:szCs w:val="24"/>
                <w:highlight w:val="none"/>
                <w:lang w:val="en-US" w:eastAsia="zh-Hans"/>
              </w:rPr>
            </w:pPr>
            <w:r>
              <w:rPr>
                <w:rFonts w:hint="eastAsia" w:ascii="仿宋" w:hAnsi="仿宋" w:eastAsia="仿宋" w:cs="仿宋"/>
                <w:color w:val="auto"/>
                <w:sz w:val="24"/>
                <w:szCs w:val="24"/>
                <w:highlight w:val="none"/>
                <w:lang w:val="en-US" w:eastAsia="zh-Hans"/>
              </w:rPr>
              <w:t>363</w:t>
            </w:r>
          </w:p>
        </w:tc>
        <w:tc>
          <w:tcPr>
            <w:tcW w:w="2827" w:type="dxa"/>
            <w:vAlign w:val="center"/>
          </w:tcPr>
          <w:p w14:paraId="17236FE0">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color w:val="auto"/>
                <w:sz w:val="24"/>
                <w:szCs w:val="24"/>
                <w:highlight w:val="none"/>
                <w:lang w:val="en-US" w:eastAsia="zh-Hans"/>
              </w:rPr>
            </w:pPr>
            <w:r>
              <w:rPr>
                <w:rFonts w:hint="eastAsia" w:ascii="仿宋" w:hAnsi="仿宋" w:eastAsia="仿宋" w:cs="仿宋"/>
                <w:color w:val="auto"/>
                <w:sz w:val="24"/>
                <w:szCs w:val="24"/>
                <w:highlight w:val="none"/>
                <w:lang w:val="en-US" w:eastAsia="zh-Hans"/>
              </w:rPr>
              <w:t>水滴</w:t>
            </w:r>
          </w:p>
        </w:tc>
        <w:tc>
          <w:tcPr>
            <w:tcW w:w="2621" w:type="dxa"/>
            <w:vAlign w:val="center"/>
          </w:tcPr>
          <w:p w14:paraId="430370FE">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color w:val="auto"/>
                <w:sz w:val="24"/>
                <w:szCs w:val="24"/>
                <w:highlight w:val="none"/>
                <w:lang w:val="en-US" w:eastAsia="zh-Hans"/>
              </w:rPr>
            </w:pPr>
            <w:r>
              <w:rPr>
                <w:rFonts w:hint="eastAsia" w:ascii="仿宋" w:hAnsi="仿宋" w:eastAsia="仿宋" w:cs="仿宋"/>
                <w:color w:val="auto"/>
                <w:sz w:val="24"/>
                <w:szCs w:val="24"/>
                <w:highlight w:val="none"/>
                <w:lang w:val="en-US" w:eastAsia="zh-Hans"/>
              </w:rPr>
              <w:t>1.8</w:t>
            </w:r>
          </w:p>
        </w:tc>
      </w:tr>
      <w:tr w14:paraId="13736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827" w:type="dxa"/>
            <w:vAlign w:val="center"/>
          </w:tcPr>
          <w:p w14:paraId="680D11BE">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color w:val="auto"/>
                <w:sz w:val="24"/>
                <w:szCs w:val="24"/>
                <w:highlight w:val="none"/>
                <w:lang w:val="en-US" w:eastAsia="zh-Hans"/>
              </w:rPr>
            </w:pPr>
            <w:r>
              <w:rPr>
                <w:rFonts w:hint="eastAsia" w:ascii="仿宋" w:hAnsi="仿宋" w:eastAsia="仿宋" w:cs="仿宋"/>
                <w:color w:val="auto"/>
                <w:sz w:val="24"/>
                <w:szCs w:val="24"/>
                <w:highlight w:val="none"/>
                <w:lang w:val="en-US" w:eastAsia="zh-Hans"/>
              </w:rPr>
              <w:t>401</w:t>
            </w:r>
          </w:p>
        </w:tc>
        <w:tc>
          <w:tcPr>
            <w:tcW w:w="2827" w:type="dxa"/>
            <w:vAlign w:val="center"/>
          </w:tcPr>
          <w:p w14:paraId="7D4BAD76">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color w:val="auto"/>
                <w:sz w:val="24"/>
                <w:szCs w:val="24"/>
                <w:highlight w:val="none"/>
                <w:lang w:val="en-US" w:eastAsia="zh-Hans"/>
              </w:rPr>
            </w:pPr>
            <w:r>
              <w:rPr>
                <w:rFonts w:hint="eastAsia" w:ascii="仿宋" w:hAnsi="仿宋" w:eastAsia="仿宋" w:cs="仿宋"/>
                <w:color w:val="auto"/>
                <w:sz w:val="24"/>
                <w:szCs w:val="24"/>
                <w:highlight w:val="none"/>
                <w:lang w:val="en-US" w:eastAsia="zh-Hans"/>
              </w:rPr>
              <w:t>剑鱼</w:t>
            </w:r>
          </w:p>
        </w:tc>
        <w:tc>
          <w:tcPr>
            <w:tcW w:w="2621" w:type="dxa"/>
            <w:vAlign w:val="center"/>
          </w:tcPr>
          <w:p w14:paraId="40706932">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color w:val="auto"/>
                <w:sz w:val="24"/>
                <w:szCs w:val="24"/>
                <w:highlight w:val="none"/>
                <w:lang w:val="en-US" w:eastAsia="zh-Hans"/>
              </w:rPr>
            </w:pPr>
            <w:r>
              <w:rPr>
                <w:rFonts w:hint="eastAsia" w:ascii="仿宋" w:hAnsi="仿宋" w:eastAsia="仿宋" w:cs="仿宋"/>
                <w:color w:val="auto"/>
                <w:sz w:val="24"/>
                <w:szCs w:val="24"/>
                <w:highlight w:val="none"/>
                <w:lang w:val="en-US" w:eastAsia="zh-Hans"/>
              </w:rPr>
              <w:t>2.1</w:t>
            </w:r>
          </w:p>
        </w:tc>
      </w:tr>
      <w:tr w14:paraId="63B30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827" w:type="dxa"/>
            <w:vAlign w:val="center"/>
          </w:tcPr>
          <w:p w14:paraId="718FB0D1">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color w:val="auto"/>
                <w:sz w:val="24"/>
                <w:szCs w:val="24"/>
                <w:highlight w:val="none"/>
                <w:lang w:val="en-US" w:eastAsia="zh-Hans"/>
              </w:rPr>
            </w:pPr>
            <w:r>
              <w:rPr>
                <w:rFonts w:hint="eastAsia" w:ascii="仿宋" w:hAnsi="仿宋" w:eastAsia="仿宋" w:cs="仿宋"/>
                <w:color w:val="auto"/>
                <w:sz w:val="24"/>
                <w:szCs w:val="24"/>
                <w:highlight w:val="none"/>
                <w:lang w:val="en-US" w:eastAsia="zh-Hans"/>
              </w:rPr>
              <w:t>第三组</w:t>
            </w:r>
          </w:p>
        </w:tc>
        <w:tc>
          <w:tcPr>
            <w:tcW w:w="2827" w:type="dxa"/>
            <w:vAlign w:val="center"/>
          </w:tcPr>
          <w:p w14:paraId="730829C9">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color w:val="auto"/>
                <w:sz w:val="24"/>
                <w:szCs w:val="24"/>
                <w:highlight w:val="none"/>
                <w:lang w:val="en-US" w:eastAsia="zh-Hans"/>
              </w:rPr>
            </w:pPr>
          </w:p>
        </w:tc>
        <w:tc>
          <w:tcPr>
            <w:tcW w:w="2621" w:type="dxa"/>
            <w:vAlign w:val="center"/>
          </w:tcPr>
          <w:p w14:paraId="7AF295D8">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color w:val="auto"/>
                <w:sz w:val="24"/>
                <w:szCs w:val="24"/>
                <w:highlight w:val="none"/>
                <w:lang w:val="en-US" w:eastAsia="zh-Hans"/>
              </w:rPr>
            </w:pPr>
          </w:p>
        </w:tc>
      </w:tr>
      <w:tr w14:paraId="43997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827" w:type="dxa"/>
            <w:vAlign w:val="center"/>
          </w:tcPr>
          <w:p w14:paraId="5CEAA7CB">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color w:val="auto"/>
                <w:sz w:val="24"/>
                <w:szCs w:val="24"/>
                <w:highlight w:val="none"/>
                <w:lang w:val="en-US" w:eastAsia="zh-Hans"/>
              </w:rPr>
            </w:pPr>
            <w:r>
              <w:rPr>
                <w:rFonts w:hint="eastAsia" w:ascii="仿宋" w:hAnsi="仿宋" w:eastAsia="仿宋" w:cs="仿宋"/>
                <w:color w:val="auto"/>
                <w:sz w:val="24"/>
                <w:szCs w:val="24"/>
                <w:highlight w:val="none"/>
                <w:lang w:val="en-US" w:eastAsia="zh-Hans"/>
              </w:rPr>
              <w:t>311</w:t>
            </w:r>
          </w:p>
        </w:tc>
        <w:tc>
          <w:tcPr>
            <w:tcW w:w="2827" w:type="dxa"/>
            <w:vAlign w:val="center"/>
          </w:tcPr>
          <w:p w14:paraId="72148DED">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color w:val="auto"/>
                <w:sz w:val="24"/>
                <w:szCs w:val="24"/>
                <w:highlight w:val="none"/>
                <w:lang w:val="en-US" w:eastAsia="zh-Hans"/>
              </w:rPr>
            </w:pPr>
            <w:r>
              <w:rPr>
                <w:rFonts w:hint="eastAsia" w:ascii="仿宋" w:hAnsi="仿宋" w:eastAsia="仿宋" w:cs="仿宋"/>
                <w:color w:val="auto"/>
                <w:sz w:val="24"/>
                <w:szCs w:val="24"/>
                <w:highlight w:val="none"/>
                <w:lang w:val="en-US" w:eastAsia="zh-Hans"/>
              </w:rPr>
              <w:t>基普式</w:t>
            </w:r>
          </w:p>
        </w:tc>
        <w:tc>
          <w:tcPr>
            <w:tcW w:w="2621" w:type="dxa"/>
            <w:vAlign w:val="center"/>
          </w:tcPr>
          <w:p w14:paraId="26BFF250">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color w:val="auto"/>
                <w:sz w:val="24"/>
                <w:szCs w:val="24"/>
                <w:highlight w:val="none"/>
                <w:lang w:val="en-US" w:eastAsia="zh-Hans"/>
              </w:rPr>
            </w:pPr>
            <w:r>
              <w:rPr>
                <w:rFonts w:hint="eastAsia" w:ascii="仿宋" w:hAnsi="仿宋" w:eastAsia="仿宋" w:cs="仿宋"/>
                <w:color w:val="auto"/>
                <w:sz w:val="24"/>
                <w:szCs w:val="24"/>
                <w:highlight w:val="none"/>
                <w:lang w:val="en-US" w:eastAsia="zh-Hans"/>
              </w:rPr>
              <w:t>1.6</w:t>
            </w:r>
          </w:p>
        </w:tc>
      </w:tr>
      <w:tr w14:paraId="16B3D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827" w:type="dxa"/>
            <w:vAlign w:val="center"/>
          </w:tcPr>
          <w:p w14:paraId="29056550">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color w:val="auto"/>
                <w:sz w:val="24"/>
                <w:szCs w:val="24"/>
                <w:highlight w:val="none"/>
                <w:lang w:val="en-US" w:eastAsia="zh-Hans"/>
              </w:rPr>
            </w:pPr>
            <w:r>
              <w:rPr>
                <w:rFonts w:hint="eastAsia" w:ascii="仿宋" w:hAnsi="仿宋" w:eastAsia="仿宋" w:cs="仿宋"/>
                <w:color w:val="auto"/>
                <w:sz w:val="24"/>
                <w:szCs w:val="24"/>
                <w:highlight w:val="none"/>
                <w:lang w:val="en-US" w:eastAsia="zh-Hans"/>
              </w:rPr>
              <w:t>227d</w:t>
            </w:r>
          </w:p>
        </w:tc>
        <w:tc>
          <w:tcPr>
            <w:tcW w:w="2827" w:type="dxa"/>
            <w:vAlign w:val="center"/>
          </w:tcPr>
          <w:p w14:paraId="60E43125">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color w:val="auto"/>
                <w:sz w:val="24"/>
                <w:szCs w:val="24"/>
                <w:highlight w:val="none"/>
                <w:lang w:val="en-US" w:eastAsia="zh-Hans"/>
              </w:rPr>
            </w:pPr>
            <w:r>
              <w:rPr>
                <w:rFonts w:hint="eastAsia" w:ascii="仿宋" w:hAnsi="仿宋" w:eastAsia="仿宋" w:cs="仿宋"/>
                <w:color w:val="auto"/>
                <w:sz w:val="24"/>
                <w:szCs w:val="24"/>
                <w:highlight w:val="none"/>
                <w:lang w:val="en-US" w:eastAsia="zh-Hans"/>
              </w:rPr>
              <w:t>天鹅尼塔旋转180度</w:t>
            </w:r>
          </w:p>
        </w:tc>
        <w:tc>
          <w:tcPr>
            <w:tcW w:w="2621" w:type="dxa"/>
            <w:vAlign w:val="center"/>
          </w:tcPr>
          <w:p w14:paraId="62D4B84F">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Hans"/>
              </w:rPr>
              <w:t>1.</w:t>
            </w:r>
            <w:r>
              <w:rPr>
                <w:rFonts w:hint="eastAsia" w:ascii="仿宋" w:hAnsi="仿宋" w:eastAsia="仿宋" w:cs="仿宋"/>
                <w:color w:val="auto"/>
                <w:sz w:val="24"/>
                <w:szCs w:val="24"/>
                <w:highlight w:val="none"/>
                <w:lang w:val="en-US" w:eastAsia="zh-CN"/>
              </w:rPr>
              <w:t>9</w:t>
            </w:r>
          </w:p>
        </w:tc>
      </w:tr>
    </w:tbl>
    <w:p w14:paraId="3A0A3C8E">
      <w:pPr>
        <w:keepNext w:val="0"/>
        <w:keepLines w:val="0"/>
        <w:pageBreakBefore w:val="0"/>
        <w:widowControl w:val="0"/>
        <w:kinsoku/>
        <w:wordWrap/>
        <w:autoSpaceDE/>
        <w:autoSpaceDN/>
        <w:bidi w:val="0"/>
        <w:adjustRightInd w:val="0"/>
        <w:snapToGrid w:val="0"/>
        <w:spacing w:line="540" w:lineRule="exact"/>
        <w:ind w:firstLine="564"/>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（八）关于抽签</w:t>
      </w:r>
    </w:p>
    <w:p w14:paraId="1ADA19C5">
      <w:pPr>
        <w:keepNext w:val="0"/>
        <w:keepLines w:val="0"/>
        <w:pageBreakBefore w:val="0"/>
        <w:widowControl w:val="0"/>
        <w:kinsoku/>
        <w:wordWrap/>
        <w:autoSpaceDE/>
        <w:autoSpaceDN/>
        <w:bidi w:val="0"/>
        <w:adjustRightInd w:val="0"/>
        <w:snapToGrid w:val="0"/>
        <w:spacing w:line="540" w:lineRule="exact"/>
        <w:ind w:firstLine="564"/>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1.规定动作抽取两个动作；</w:t>
      </w:r>
    </w:p>
    <w:p w14:paraId="12A2DC74">
      <w:pPr>
        <w:keepNext w:val="0"/>
        <w:keepLines w:val="0"/>
        <w:pageBreakBefore w:val="0"/>
        <w:widowControl w:val="0"/>
        <w:kinsoku/>
        <w:wordWrap/>
        <w:autoSpaceDE/>
        <w:autoSpaceDN/>
        <w:bidi w:val="0"/>
        <w:adjustRightInd w:val="0"/>
        <w:snapToGrid w:val="0"/>
        <w:spacing w:line="540" w:lineRule="exact"/>
        <w:ind w:firstLine="564"/>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2.规定动作抽签按AS8.3.1-AS8.3.3执行；</w:t>
      </w:r>
    </w:p>
    <w:p w14:paraId="753A70FB">
      <w:pPr>
        <w:keepNext w:val="0"/>
        <w:keepLines w:val="0"/>
        <w:pageBreakBefore w:val="0"/>
        <w:widowControl w:val="0"/>
        <w:kinsoku/>
        <w:wordWrap/>
        <w:autoSpaceDE/>
        <w:autoSpaceDN/>
        <w:bidi w:val="0"/>
        <w:adjustRightInd w:val="0"/>
        <w:snapToGrid w:val="0"/>
        <w:spacing w:line="540" w:lineRule="exact"/>
        <w:ind w:firstLine="564"/>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3.所有组别、比赛项目的出场顺序，将于赛前技术会进行抽签。</w:t>
      </w:r>
    </w:p>
    <w:p w14:paraId="74DD87C4">
      <w:pPr>
        <w:keepNext w:val="0"/>
        <w:keepLines w:val="0"/>
        <w:pageBreakBefore w:val="0"/>
        <w:widowControl w:val="0"/>
        <w:kinsoku/>
        <w:wordWrap/>
        <w:autoSpaceDE/>
        <w:autoSpaceDN/>
        <w:bidi w:val="0"/>
        <w:adjustRightInd w:val="0"/>
        <w:snapToGrid w:val="0"/>
        <w:spacing w:line="540" w:lineRule="exact"/>
        <w:ind w:firstLine="564"/>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规定动作比赛泳衣须遵守世界泳联规则GR5。运动员应着黑色泳衣，戴白色泳帽。可佩戴泳镜和鼻夹。只允许佩戴小耳钉，运动员必须在比赛开始前摘除悬挂类饰品。</w:t>
      </w:r>
    </w:p>
    <w:p w14:paraId="1CFDE8D2">
      <w:pPr>
        <w:keepNext w:val="0"/>
        <w:keepLines w:val="0"/>
        <w:pageBreakBefore w:val="0"/>
        <w:widowControl w:val="0"/>
        <w:numPr>
          <w:ilvl w:val="0"/>
          <w:numId w:val="0"/>
        </w:numPr>
        <w:tabs>
          <w:tab w:val="left" w:pos="312"/>
        </w:tabs>
        <w:kinsoku/>
        <w:wordWrap/>
        <w:autoSpaceDE/>
        <w:autoSpaceDN/>
        <w:bidi w:val="0"/>
        <w:adjustRightInd w:val="0"/>
        <w:snapToGrid w:val="0"/>
        <w:spacing w:line="540" w:lineRule="exact"/>
        <w:ind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（九）各项目竞赛小项参赛人（队）数少于2个参赛单位3人（队），均不安排比赛。</w:t>
      </w:r>
    </w:p>
    <w:p w14:paraId="6047D3EA">
      <w:pPr>
        <w:keepNext w:val="0"/>
        <w:keepLines w:val="0"/>
        <w:pageBreakBefore w:val="0"/>
        <w:widowControl w:val="0"/>
        <w:kinsoku/>
        <w:wordWrap/>
        <w:autoSpaceDE/>
        <w:autoSpaceDN/>
        <w:bidi w:val="0"/>
        <w:adjustRightInd w:val="0"/>
        <w:snapToGrid w:val="0"/>
        <w:spacing w:line="540" w:lineRule="exact"/>
        <w:ind w:firstLine="564"/>
        <w:textAlignment w:val="auto"/>
        <w:rPr>
          <w:rFonts w:hint="eastAsia" w:ascii="仿宋" w:hAnsi="仿宋" w:eastAsia="仿宋" w:cs="仿宋"/>
          <w:color w:val="auto"/>
          <w:sz w:val="28"/>
          <w:szCs w:val="28"/>
          <w:highlight w:val="none"/>
          <w:lang w:val="en-US" w:eastAsia="zh-Hans"/>
        </w:rPr>
      </w:pPr>
      <w:r>
        <w:rPr>
          <w:rFonts w:hint="eastAsia" w:ascii="仿宋" w:hAnsi="仿宋" w:eastAsia="仿宋" w:cs="仿宋"/>
          <w:color w:val="auto"/>
          <w:sz w:val="28"/>
          <w:szCs w:val="28"/>
          <w:highlight w:val="none"/>
          <w:lang w:val="en-US" w:eastAsia="zh-Hans"/>
        </w:rPr>
        <w:t>（</w:t>
      </w:r>
      <w:r>
        <w:rPr>
          <w:rFonts w:hint="eastAsia" w:ascii="仿宋" w:hAnsi="仿宋" w:eastAsia="仿宋" w:cs="仿宋"/>
          <w:color w:val="auto"/>
          <w:sz w:val="28"/>
          <w:szCs w:val="28"/>
          <w:highlight w:val="none"/>
          <w:lang w:val="en-US" w:eastAsia="zh-CN"/>
        </w:rPr>
        <w:t>十</w:t>
      </w:r>
      <w:r>
        <w:rPr>
          <w:rFonts w:hint="eastAsia" w:ascii="仿宋" w:hAnsi="仿宋" w:eastAsia="仿宋" w:cs="仿宋"/>
          <w:color w:val="auto"/>
          <w:sz w:val="28"/>
          <w:szCs w:val="28"/>
          <w:highlight w:val="none"/>
          <w:lang w:val="en-US" w:eastAsia="zh-Hans"/>
        </w:rPr>
        <w:t>）</w:t>
      </w:r>
      <w:r>
        <w:rPr>
          <w:rFonts w:hint="eastAsia" w:ascii="仿宋" w:hAnsi="仿宋" w:eastAsia="仿宋" w:cs="仿宋"/>
          <w:color w:val="auto"/>
          <w:sz w:val="28"/>
          <w:szCs w:val="28"/>
          <w:highlight w:val="none"/>
          <w:lang w:val="en-US" w:eastAsia="zh-CN"/>
        </w:rPr>
        <w:t>比赛音乐按</w:t>
      </w:r>
      <w:r>
        <w:rPr>
          <w:rFonts w:hint="eastAsia" w:ascii="仿宋" w:hAnsi="仿宋" w:eastAsia="仿宋" w:cs="仿宋"/>
          <w:color w:val="auto"/>
          <w:sz w:val="28"/>
          <w:szCs w:val="28"/>
          <w:highlight w:val="none"/>
          <w:lang w:val="en-US" w:eastAsia="zh-Hans"/>
        </w:rPr>
        <w:t>国家体育总局游泳运动管理中心审定的最新花样游泳竞赛规则执行</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lang w:val="en-US" w:eastAsia="zh-Hans"/>
        </w:rPr>
        <w:t>请</w:t>
      </w:r>
      <w:r>
        <w:rPr>
          <w:rFonts w:hint="eastAsia" w:ascii="仿宋" w:hAnsi="仿宋" w:eastAsia="仿宋" w:cs="仿宋"/>
          <w:color w:val="auto"/>
          <w:sz w:val="28"/>
          <w:szCs w:val="28"/>
          <w:highlight w:val="none"/>
          <w:lang w:val="en-US" w:eastAsia="zh-CN"/>
        </w:rPr>
        <w:t>于比赛</w:t>
      </w:r>
      <w:r>
        <w:rPr>
          <w:rFonts w:hint="eastAsia" w:ascii="仿宋" w:hAnsi="仿宋" w:eastAsia="仿宋" w:cs="仿宋"/>
          <w:color w:val="auto"/>
          <w:sz w:val="28"/>
          <w:szCs w:val="28"/>
          <w:highlight w:val="none"/>
          <w:lang w:val="en-US" w:eastAsia="zh-Hans"/>
        </w:rPr>
        <w:t>开始</w:t>
      </w:r>
      <w:r>
        <w:rPr>
          <w:rFonts w:hint="eastAsia" w:ascii="仿宋" w:hAnsi="仿宋" w:eastAsia="仿宋" w:cs="仿宋"/>
          <w:color w:val="auto"/>
          <w:sz w:val="28"/>
          <w:szCs w:val="28"/>
          <w:highlight w:val="none"/>
          <w:lang w:val="en-US" w:eastAsia="zh-CN"/>
        </w:rPr>
        <w:t>前3天</w:t>
      </w:r>
      <w:r>
        <w:rPr>
          <w:rFonts w:hint="eastAsia" w:ascii="仿宋" w:hAnsi="仿宋" w:eastAsia="仿宋" w:cs="仿宋"/>
          <w:color w:val="auto"/>
          <w:sz w:val="28"/>
          <w:szCs w:val="28"/>
          <w:highlight w:val="none"/>
          <w:lang w:val="en-US" w:eastAsia="zh-Hans"/>
        </w:rPr>
        <w:t>上交至音乐裁判。</w:t>
      </w:r>
      <w:r>
        <w:rPr>
          <w:rFonts w:hint="eastAsia" w:ascii="仿宋" w:hAnsi="仿宋" w:eastAsia="仿宋" w:cs="仿宋"/>
          <w:color w:val="auto"/>
          <w:sz w:val="28"/>
          <w:szCs w:val="28"/>
          <w:highlight w:val="none"/>
          <w:lang w:val="en-US" w:eastAsia="zh-CN"/>
        </w:rPr>
        <w:t>WAV格式</w:t>
      </w:r>
      <w:r>
        <w:rPr>
          <w:rFonts w:hint="eastAsia" w:ascii="仿宋" w:hAnsi="仿宋" w:eastAsia="仿宋" w:cs="仿宋"/>
          <w:color w:val="auto"/>
          <w:sz w:val="28"/>
          <w:szCs w:val="28"/>
          <w:highlight w:val="none"/>
          <w:lang w:val="en-US" w:eastAsia="zh-Hans"/>
        </w:rPr>
        <w:t>或MP3格式</w:t>
      </w:r>
      <w:r>
        <w:rPr>
          <w:rFonts w:hint="eastAsia" w:ascii="仿宋" w:hAnsi="仿宋" w:eastAsia="仿宋" w:cs="仿宋"/>
          <w:color w:val="auto"/>
          <w:sz w:val="28"/>
          <w:szCs w:val="28"/>
          <w:highlight w:val="none"/>
          <w:lang w:val="en-US" w:eastAsia="zh-CN"/>
        </w:rPr>
        <w:t>的</w:t>
      </w:r>
      <w:r>
        <w:rPr>
          <w:rFonts w:hint="eastAsia" w:ascii="仿宋" w:hAnsi="仿宋" w:eastAsia="仿宋" w:cs="仿宋"/>
          <w:color w:val="auto"/>
          <w:sz w:val="28"/>
          <w:szCs w:val="28"/>
          <w:highlight w:val="none"/>
          <w:lang w:val="en-US" w:eastAsia="zh-Hans"/>
        </w:rPr>
        <w:t>比赛音乐必须</w:t>
      </w:r>
      <w:r>
        <w:rPr>
          <w:rFonts w:hint="eastAsia" w:ascii="仿宋" w:hAnsi="仿宋" w:eastAsia="仿宋" w:cs="仿宋"/>
          <w:color w:val="auto"/>
          <w:sz w:val="28"/>
          <w:szCs w:val="28"/>
          <w:highlight w:val="none"/>
          <w:lang w:val="en-US" w:eastAsia="zh-CN"/>
        </w:rPr>
        <w:t>按顺序标注：区队名（全称）、组别（全称）、参赛项目（全称）、参赛选手姓名（集体类项目除外）和音乐时间（一人〈对，队〉一项一曲），如文件名称不符合要求，不予接受</w:t>
      </w:r>
      <w:r>
        <w:rPr>
          <w:rFonts w:hint="eastAsia" w:ascii="仿宋" w:hAnsi="仿宋" w:eastAsia="仿宋" w:cs="仿宋"/>
          <w:color w:val="auto"/>
          <w:sz w:val="28"/>
          <w:szCs w:val="28"/>
          <w:highlight w:val="none"/>
          <w:lang w:val="en-US" w:eastAsia="zh-Hans"/>
        </w:rPr>
        <w:t>。</w:t>
      </w:r>
    </w:p>
    <w:p w14:paraId="1493A1CF">
      <w:pPr>
        <w:keepNext w:val="0"/>
        <w:keepLines w:val="0"/>
        <w:pageBreakBefore w:val="0"/>
        <w:widowControl w:val="0"/>
        <w:kinsoku/>
        <w:wordWrap/>
        <w:autoSpaceDE/>
        <w:autoSpaceDN/>
        <w:bidi w:val="0"/>
        <w:adjustRightInd w:val="0"/>
        <w:snapToGrid w:val="0"/>
        <w:spacing w:line="540" w:lineRule="exact"/>
        <w:ind w:firstLine="564"/>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Hans"/>
        </w:rPr>
        <w:t>（</w:t>
      </w:r>
      <w:r>
        <w:rPr>
          <w:rFonts w:hint="eastAsia" w:ascii="仿宋" w:hAnsi="仿宋" w:eastAsia="仿宋" w:cs="仿宋"/>
          <w:color w:val="auto"/>
          <w:sz w:val="28"/>
          <w:szCs w:val="28"/>
          <w:highlight w:val="none"/>
          <w:lang w:val="en-US" w:eastAsia="zh-CN"/>
        </w:rPr>
        <w:t>十一</w:t>
      </w:r>
      <w:r>
        <w:rPr>
          <w:rFonts w:hint="eastAsia" w:ascii="仿宋" w:hAnsi="仿宋" w:eastAsia="仿宋" w:cs="仿宋"/>
          <w:color w:val="auto"/>
          <w:sz w:val="28"/>
          <w:szCs w:val="28"/>
          <w:highlight w:val="none"/>
          <w:lang w:val="en-US" w:eastAsia="zh-Hans"/>
        </w:rPr>
        <w:t>）</w:t>
      </w:r>
      <w:r>
        <w:rPr>
          <w:rFonts w:hint="eastAsia" w:ascii="仿宋" w:hAnsi="仿宋" w:eastAsia="仿宋" w:cs="仿宋"/>
          <w:color w:val="auto"/>
          <w:sz w:val="28"/>
          <w:szCs w:val="28"/>
          <w:highlight w:val="none"/>
          <w:lang w:val="en-US" w:eastAsia="zh-CN"/>
        </w:rPr>
        <w:t>各组别各项目采用一次性比赛决出最终名次。</w:t>
      </w:r>
    </w:p>
    <w:p w14:paraId="329EA69C">
      <w:pPr>
        <w:keepNext w:val="0"/>
        <w:keepLines w:val="0"/>
        <w:pageBreakBefore w:val="0"/>
        <w:widowControl w:val="0"/>
        <w:kinsoku/>
        <w:wordWrap/>
        <w:autoSpaceDE/>
        <w:autoSpaceDN/>
        <w:bidi w:val="0"/>
        <w:adjustRightInd w:val="0"/>
        <w:snapToGrid w:val="0"/>
        <w:spacing w:line="540" w:lineRule="exact"/>
        <w:ind w:firstLine="564"/>
        <w:textAlignment w:val="auto"/>
        <w:rPr>
          <w:rFonts w:hint="eastAsia" w:ascii="仿宋" w:hAnsi="仿宋" w:eastAsia="仿宋" w:cs="仿宋"/>
          <w:color w:val="auto"/>
          <w:sz w:val="28"/>
          <w:szCs w:val="28"/>
          <w:highlight w:val="none"/>
          <w:lang w:val="en-US" w:eastAsia="zh-Hans"/>
        </w:rPr>
      </w:pPr>
      <w:r>
        <w:rPr>
          <w:rFonts w:hint="eastAsia" w:ascii="仿宋" w:hAnsi="仿宋" w:eastAsia="仿宋" w:cs="仿宋"/>
          <w:color w:val="auto"/>
          <w:sz w:val="28"/>
          <w:szCs w:val="28"/>
          <w:highlight w:val="none"/>
          <w:lang w:val="en-US" w:eastAsia="zh-CN"/>
        </w:rPr>
        <w:t>（十二）</w:t>
      </w:r>
      <w:r>
        <w:rPr>
          <w:rFonts w:hint="eastAsia" w:ascii="仿宋" w:hAnsi="仿宋" w:eastAsia="仿宋" w:cs="仿宋"/>
          <w:color w:val="auto"/>
          <w:sz w:val="28"/>
          <w:szCs w:val="28"/>
          <w:highlight w:val="none"/>
          <w:lang w:val="en-US" w:eastAsia="zh-Hans"/>
        </w:rPr>
        <w:t>计分方法</w:t>
      </w:r>
    </w:p>
    <w:p w14:paraId="2F994F72">
      <w:pPr>
        <w:keepNext w:val="0"/>
        <w:keepLines w:val="0"/>
        <w:pageBreakBefore w:val="0"/>
        <w:widowControl w:val="0"/>
        <w:kinsoku/>
        <w:wordWrap/>
        <w:autoSpaceDE/>
        <w:autoSpaceDN/>
        <w:bidi w:val="0"/>
        <w:adjustRightInd w:val="0"/>
        <w:snapToGrid w:val="0"/>
        <w:spacing w:line="540" w:lineRule="exact"/>
        <w:ind w:firstLine="564"/>
        <w:textAlignment w:val="auto"/>
        <w:rPr>
          <w:rFonts w:hint="eastAsia" w:ascii="仿宋" w:hAnsi="仿宋" w:eastAsia="仿宋" w:cs="仿宋"/>
          <w:color w:val="auto"/>
          <w:sz w:val="28"/>
          <w:szCs w:val="28"/>
          <w:highlight w:val="none"/>
          <w:lang w:val="en-US" w:eastAsia="zh-Hans"/>
        </w:rPr>
      </w:pPr>
      <w:r>
        <w:rPr>
          <w:rFonts w:hint="eastAsia" w:ascii="仿宋" w:hAnsi="仿宋" w:eastAsia="仿宋" w:cs="仿宋"/>
          <w:color w:val="auto"/>
          <w:sz w:val="28"/>
          <w:szCs w:val="28"/>
          <w:highlight w:val="none"/>
          <w:lang w:val="en-US" w:eastAsia="zh-Hans"/>
        </w:rPr>
        <w:t>1</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lang w:val="en-US" w:eastAsia="zh-Hans"/>
        </w:rPr>
        <w:t>A组：按照各项目自选成绩排序决定名次；</w:t>
      </w:r>
    </w:p>
    <w:p w14:paraId="6B45A054">
      <w:pPr>
        <w:keepNext w:val="0"/>
        <w:keepLines w:val="0"/>
        <w:pageBreakBefore w:val="0"/>
        <w:widowControl w:val="0"/>
        <w:kinsoku/>
        <w:wordWrap/>
        <w:autoSpaceDE/>
        <w:autoSpaceDN/>
        <w:bidi w:val="0"/>
        <w:adjustRightInd w:val="0"/>
        <w:snapToGrid w:val="0"/>
        <w:spacing w:line="540" w:lineRule="exact"/>
        <w:ind w:firstLine="564"/>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lang w:val="en-US" w:eastAsia="zh-Hans"/>
        </w:rPr>
        <w:t>B组：规定动作为必比项目，按成绩排序决定名次；</w:t>
      </w:r>
      <w:r>
        <w:rPr>
          <w:rFonts w:hint="eastAsia" w:ascii="仿宋" w:hAnsi="仿宋" w:eastAsia="仿宋" w:cs="仿宋"/>
          <w:color w:val="auto"/>
          <w:sz w:val="28"/>
          <w:szCs w:val="28"/>
          <w:highlight w:val="none"/>
          <w:lang w:val="en-US" w:eastAsia="zh-CN"/>
        </w:rPr>
        <w:t>除全能项目外，其余</w:t>
      </w:r>
      <w:r>
        <w:rPr>
          <w:rFonts w:hint="eastAsia" w:ascii="仿宋" w:hAnsi="仿宋" w:eastAsia="仿宋" w:cs="仿宋"/>
          <w:color w:val="auto"/>
          <w:sz w:val="28"/>
          <w:szCs w:val="28"/>
          <w:highlight w:val="none"/>
          <w:lang w:val="en-US" w:eastAsia="zh-Hans"/>
        </w:rPr>
        <w:t>项目均按规定动作和自选项目得分之和决定最后名次；</w:t>
      </w:r>
      <w:r>
        <w:rPr>
          <w:rFonts w:hint="eastAsia" w:ascii="仿宋" w:hAnsi="仿宋" w:eastAsia="仿宋" w:cs="仿宋"/>
          <w:color w:val="auto"/>
          <w:sz w:val="28"/>
          <w:szCs w:val="28"/>
          <w:highlight w:val="none"/>
          <w:lang w:val="en-US" w:eastAsia="zh-CN"/>
        </w:rPr>
        <w:t>全能项目按规定动作最终得分（40%）、200米自由泳（30%）、潜泳（按米计算，30%）之和决定最后名次；</w:t>
      </w:r>
    </w:p>
    <w:p w14:paraId="1384B715">
      <w:pPr>
        <w:keepNext w:val="0"/>
        <w:keepLines w:val="0"/>
        <w:pageBreakBefore w:val="0"/>
        <w:widowControl w:val="0"/>
        <w:kinsoku/>
        <w:wordWrap/>
        <w:autoSpaceDE/>
        <w:autoSpaceDN/>
        <w:bidi w:val="0"/>
        <w:adjustRightInd w:val="0"/>
        <w:snapToGrid w:val="0"/>
        <w:spacing w:line="540" w:lineRule="exact"/>
        <w:ind w:firstLine="564"/>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lang w:val="en-US" w:eastAsia="zh-Hans"/>
        </w:rPr>
        <w:t>AB组：</w:t>
      </w:r>
      <w:r>
        <w:rPr>
          <w:rFonts w:hint="eastAsia" w:ascii="仿宋" w:hAnsi="仿宋" w:eastAsia="仿宋" w:cs="仿宋"/>
          <w:color w:val="auto"/>
          <w:sz w:val="28"/>
          <w:szCs w:val="28"/>
          <w:highlight w:val="none"/>
          <w:lang w:val="en-US" w:eastAsia="zh-CN"/>
        </w:rPr>
        <w:t>自由组合按成绩排序决定名次，成绩高者名次列前。</w:t>
      </w:r>
    </w:p>
    <w:p w14:paraId="00CFFA53">
      <w:pPr>
        <w:keepNext w:val="0"/>
        <w:keepLines w:val="0"/>
        <w:pageBreakBefore w:val="0"/>
        <w:widowControl w:val="0"/>
        <w:kinsoku/>
        <w:wordWrap/>
        <w:autoSpaceDE/>
        <w:autoSpaceDN/>
        <w:bidi w:val="0"/>
        <w:adjustRightInd w:val="0"/>
        <w:snapToGrid w:val="0"/>
        <w:spacing w:line="540" w:lineRule="exact"/>
        <w:ind w:firstLine="564"/>
        <w:textAlignment w:val="auto"/>
        <w:rPr>
          <w:rFonts w:hint="eastAsia" w:ascii="仿宋" w:hAnsi="仿宋" w:eastAsia="仿宋" w:cs="仿宋"/>
          <w:color w:val="auto"/>
          <w:sz w:val="28"/>
          <w:szCs w:val="28"/>
          <w:highlight w:val="none"/>
          <w:lang w:val="en-US" w:eastAsia="zh-Hans"/>
        </w:rPr>
      </w:pPr>
      <w:r>
        <w:rPr>
          <w:rFonts w:hint="eastAsia" w:ascii="仿宋" w:hAnsi="仿宋" w:eastAsia="仿宋" w:cs="仿宋"/>
          <w:color w:val="auto"/>
          <w:sz w:val="28"/>
          <w:szCs w:val="28"/>
          <w:highlight w:val="none"/>
          <w:lang w:val="en-US" w:eastAsia="zh-CN"/>
        </w:rPr>
        <w:t>4、集体自由自选项目上场运动员人数为4</w:t>
      </w:r>
      <w:r>
        <w:rPr>
          <w:rFonts w:hint="eastAsia" w:ascii="仿宋" w:hAnsi="仿宋" w:eastAsia="仿宋" w:cs="仿宋"/>
          <w:color w:val="auto"/>
          <w:sz w:val="28"/>
          <w:szCs w:val="28"/>
          <w:highlight w:val="none"/>
          <w:lang w:val="en-US" w:eastAsia="zh-Hans"/>
        </w:rPr>
        <w:t>至</w:t>
      </w:r>
      <w:r>
        <w:rPr>
          <w:rFonts w:hint="eastAsia" w:ascii="仿宋" w:hAnsi="仿宋" w:eastAsia="仿宋" w:cs="仿宋"/>
          <w:color w:val="auto"/>
          <w:sz w:val="28"/>
          <w:szCs w:val="28"/>
          <w:highlight w:val="none"/>
          <w:lang w:val="en-US" w:eastAsia="zh-CN"/>
        </w:rPr>
        <w:t>8人，不足8人</w:t>
      </w:r>
      <w:r>
        <w:rPr>
          <w:rFonts w:hint="eastAsia" w:ascii="仿宋" w:hAnsi="仿宋" w:eastAsia="仿宋" w:cs="仿宋"/>
          <w:color w:val="auto"/>
          <w:sz w:val="28"/>
          <w:szCs w:val="28"/>
          <w:highlight w:val="none"/>
          <w:lang w:val="en-US" w:eastAsia="zh-Hans"/>
        </w:rPr>
        <w:t>每减少1人，在自选得分中扣0.5分；</w:t>
      </w:r>
    </w:p>
    <w:p w14:paraId="1DB8B22F">
      <w:pPr>
        <w:keepNext w:val="0"/>
        <w:keepLines w:val="0"/>
        <w:pageBreakBefore w:val="0"/>
        <w:widowControl w:val="0"/>
        <w:kinsoku/>
        <w:wordWrap/>
        <w:autoSpaceDE/>
        <w:autoSpaceDN/>
        <w:bidi w:val="0"/>
        <w:adjustRightInd w:val="0"/>
        <w:snapToGrid w:val="0"/>
        <w:spacing w:line="540" w:lineRule="exact"/>
        <w:ind w:firstLine="564"/>
        <w:textAlignment w:val="auto"/>
        <w:rPr>
          <w:rFonts w:hint="eastAsia" w:ascii="仿宋" w:hAnsi="仿宋" w:eastAsia="仿宋" w:cs="仿宋"/>
          <w:color w:val="auto"/>
          <w:sz w:val="28"/>
          <w:szCs w:val="28"/>
          <w:highlight w:val="none"/>
          <w:lang w:val="en-US" w:eastAsia="zh-Hans"/>
        </w:rPr>
      </w:pPr>
      <w:r>
        <w:rPr>
          <w:rFonts w:hint="eastAsia" w:ascii="仿宋" w:hAnsi="仿宋" w:eastAsia="仿宋" w:cs="仿宋"/>
          <w:color w:val="auto"/>
          <w:sz w:val="28"/>
          <w:szCs w:val="28"/>
          <w:highlight w:val="none"/>
          <w:lang w:val="en-US" w:eastAsia="zh-CN"/>
        </w:rPr>
        <w:t>5、自由组合项目上场运动员人数为4</w:t>
      </w:r>
      <w:r>
        <w:rPr>
          <w:rFonts w:hint="eastAsia" w:ascii="仿宋" w:hAnsi="仿宋" w:eastAsia="仿宋" w:cs="仿宋"/>
          <w:color w:val="auto"/>
          <w:sz w:val="28"/>
          <w:szCs w:val="28"/>
          <w:highlight w:val="none"/>
          <w:lang w:val="en-US" w:eastAsia="zh-Hans"/>
        </w:rPr>
        <w:t>至</w:t>
      </w:r>
      <w:r>
        <w:rPr>
          <w:rFonts w:hint="eastAsia" w:ascii="仿宋" w:hAnsi="仿宋" w:eastAsia="仿宋" w:cs="仿宋"/>
          <w:color w:val="auto"/>
          <w:sz w:val="28"/>
          <w:szCs w:val="28"/>
          <w:highlight w:val="none"/>
          <w:lang w:val="en-US" w:eastAsia="zh-CN"/>
        </w:rPr>
        <w:t>10人，</w:t>
      </w:r>
      <w:r>
        <w:rPr>
          <w:rFonts w:hint="eastAsia" w:ascii="仿宋" w:hAnsi="仿宋" w:eastAsia="仿宋" w:cs="仿宋"/>
          <w:color w:val="auto"/>
          <w:sz w:val="28"/>
          <w:szCs w:val="28"/>
          <w:highlight w:val="none"/>
          <w:lang w:val="en-US" w:eastAsia="zh-Hans"/>
        </w:rPr>
        <w:t>不足10人每减少1人，在自选得分中扣0.5分；</w:t>
      </w:r>
    </w:p>
    <w:p w14:paraId="2573EC7C">
      <w:pPr>
        <w:keepNext w:val="0"/>
        <w:keepLines w:val="0"/>
        <w:pageBreakBefore w:val="0"/>
        <w:widowControl w:val="0"/>
        <w:kinsoku/>
        <w:wordWrap/>
        <w:autoSpaceDE/>
        <w:autoSpaceDN/>
        <w:bidi w:val="0"/>
        <w:adjustRightInd w:val="0"/>
        <w:snapToGrid w:val="0"/>
        <w:spacing w:line="540" w:lineRule="exact"/>
        <w:ind w:firstLine="564"/>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（十三）评分标准</w:t>
      </w:r>
    </w:p>
    <w:p w14:paraId="4A59F092">
      <w:pPr>
        <w:keepNext w:val="0"/>
        <w:keepLines w:val="0"/>
        <w:pageBreakBefore w:val="0"/>
        <w:widowControl w:val="0"/>
        <w:kinsoku/>
        <w:wordWrap/>
        <w:autoSpaceDE/>
        <w:autoSpaceDN/>
        <w:bidi w:val="0"/>
        <w:adjustRightInd w:val="0"/>
        <w:snapToGrid w:val="0"/>
        <w:spacing w:line="540" w:lineRule="exact"/>
        <w:ind w:firstLine="564"/>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1、除200米自由泳和潜泳外的其他项目，按照</w:t>
      </w:r>
      <w:r>
        <w:rPr>
          <w:rFonts w:hint="eastAsia" w:ascii="仿宋" w:hAnsi="仿宋" w:eastAsia="仿宋" w:cs="仿宋"/>
          <w:color w:val="auto"/>
          <w:sz w:val="28"/>
          <w:szCs w:val="28"/>
          <w:highlight w:val="none"/>
          <w:lang w:val="en-US" w:eastAsia="zh-Hans"/>
        </w:rPr>
        <w:t>花样游泳竞赛规则</w:t>
      </w:r>
      <w:r>
        <w:rPr>
          <w:rFonts w:hint="eastAsia" w:ascii="仿宋" w:hAnsi="仿宋" w:eastAsia="仿宋" w:cs="仿宋"/>
          <w:color w:val="auto"/>
          <w:sz w:val="28"/>
          <w:szCs w:val="28"/>
          <w:highlight w:val="none"/>
          <w:lang w:val="en-US" w:eastAsia="zh-CN"/>
        </w:rPr>
        <w:t>执行。</w:t>
      </w:r>
    </w:p>
    <w:p w14:paraId="7E9C3197">
      <w:pPr>
        <w:keepNext w:val="0"/>
        <w:keepLines w:val="0"/>
        <w:pageBreakBefore w:val="0"/>
        <w:kinsoku/>
        <w:wordWrap/>
        <w:overflowPunct/>
        <w:topLinePunct w:val="0"/>
        <w:autoSpaceDE/>
        <w:autoSpaceDN/>
        <w:bidi w:val="0"/>
        <w:adjustRightInd w:val="0"/>
        <w:snapToGrid w:val="0"/>
        <w:spacing w:line="540" w:lineRule="exact"/>
        <w:ind w:firstLine="560" w:firstLineChars="200"/>
        <w:rPr>
          <w:rFonts w:hint="default" w:ascii="仿宋" w:hAnsi="仿宋" w:eastAsia="仿宋" w:cs="仿宋_GB2312"/>
          <w:color w:val="auto"/>
          <w:sz w:val="28"/>
          <w:szCs w:val="28"/>
          <w:highlight w:val="none"/>
          <w:lang w:val="en-US" w:eastAsia="zh-CN"/>
        </w:rPr>
      </w:pPr>
      <w:r>
        <w:rPr>
          <w:rFonts w:hint="eastAsia" w:ascii="仿宋" w:hAnsi="仿宋" w:eastAsia="仿宋" w:cs="仿宋_GB2312"/>
          <w:color w:val="auto"/>
          <w:sz w:val="28"/>
          <w:szCs w:val="28"/>
          <w:highlight w:val="none"/>
          <w:lang w:val="en-US" w:eastAsia="zh-CN"/>
        </w:rPr>
        <w:t>2、2</w:t>
      </w:r>
      <w:r>
        <w:rPr>
          <w:rFonts w:hint="default" w:ascii="仿宋" w:hAnsi="仿宋" w:eastAsia="仿宋" w:cs="仿宋_GB2312"/>
          <w:color w:val="auto"/>
          <w:sz w:val="28"/>
          <w:szCs w:val="28"/>
          <w:highlight w:val="none"/>
          <w:lang w:val="en-US" w:eastAsia="zh-CN"/>
        </w:rPr>
        <w:t>00米自由泳</w:t>
      </w:r>
      <w:r>
        <w:rPr>
          <w:rFonts w:hint="eastAsia" w:ascii="仿宋" w:hAnsi="仿宋" w:eastAsia="仿宋" w:cs="仿宋_GB2312"/>
          <w:color w:val="auto"/>
          <w:sz w:val="28"/>
          <w:szCs w:val="28"/>
          <w:highlight w:val="none"/>
          <w:lang w:val="en-US" w:eastAsia="zh-CN"/>
        </w:rPr>
        <w:t>和潜泳</w:t>
      </w:r>
      <w:r>
        <w:rPr>
          <w:rFonts w:hint="default" w:ascii="仿宋" w:hAnsi="仿宋" w:eastAsia="仿宋" w:cs="仿宋_GB2312"/>
          <w:color w:val="auto"/>
          <w:sz w:val="28"/>
          <w:szCs w:val="28"/>
          <w:highlight w:val="none"/>
          <w:lang w:val="en-US" w:eastAsia="zh-CN"/>
        </w:rPr>
        <w:t>测试</w:t>
      </w:r>
      <w:r>
        <w:rPr>
          <w:rFonts w:hint="eastAsia" w:ascii="仿宋" w:hAnsi="仿宋" w:eastAsia="仿宋" w:cs="仿宋_GB2312"/>
          <w:color w:val="auto"/>
          <w:sz w:val="28"/>
          <w:szCs w:val="28"/>
          <w:highlight w:val="none"/>
          <w:lang w:val="en-US" w:eastAsia="zh-CN"/>
        </w:rPr>
        <w:t>均</w:t>
      </w:r>
      <w:r>
        <w:rPr>
          <w:rFonts w:hint="default" w:ascii="仿宋" w:hAnsi="仿宋" w:eastAsia="仿宋" w:cs="仿宋_GB2312"/>
          <w:color w:val="auto"/>
          <w:sz w:val="28"/>
          <w:szCs w:val="28"/>
          <w:highlight w:val="none"/>
          <w:lang w:val="en-US" w:eastAsia="zh-CN"/>
        </w:rPr>
        <w:t>以本项目第一名成绩作为标准成绩，得分计算参考以下公式，运动员得分按四舍五入法则，精确到小数点后一位。</w:t>
      </w:r>
    </w:p>
    <w:p w14:paraId="21A885A5">
      <w:pPr>
        <w:keepNext w:val="0"/>
        <w:keepLines w:val="0"/>
        <w:pageBreakBefore w:val="0"/>
        <w:kinsoku/>
        <w:wordWrap/>
        <w:overflowPunct/>
        <w:topLinePunct w:val="0"/>
        <w:autoSpaceDE/>
        <w:autoSpaceDN/>
        <w:bidi w:val="0"/>
        <w:adjustRightInd w:val="0"/>
        <w:snapToGrid w:val="0"/>
        <w:spacing w:line="540" w:lineRule="exact"/>
        <w:ind w:firstLine="560" w:firstLineChars="200"/>
        <w:rPr>
          <w:rFonts w:hint="default" w:ascii="仿宋" w:hAnsi="仿宋" w:eastAsia="仿宋" w:cs="仿宋_GB2312"/>
          <w:color w:val="auto"/>
          <w:sz w:val="28"/>
          <w:szCs w:val="28"/>
          <w:highlight w:val="none"/>
          <w:lang w:val="en-US" w:eastAsia="zh-CN"/>
        </w:rPr>
      </w:pPr>
    </w:p>
    <w:p w14:paraId="15E4FC90">
      <w:pPr>
        <w:keepNext w:val="0"/>
        <w:keepLines w:val="0"/>
        <w:pageBreakBefore w:val="0"/>
        <w:kinsoku/>
        <w:wordWrap/>
        <w:overflowPunct/>
        <w:topLinePunct w:val="0"/>
        <w:autoSpaceDE/>
        <w:autoSpaceDN/>
        <w:bidi w:val="0"/>
        <w:adjustRightInd w:val="0"/>
        <w:snapToGrid w:val="0"/>
        <w:spacing w:line="540" w:lineRule="exact"/>
        <w:ind w:firstLine="600" w:firstLineChars="200"/>
        <w:rPr>
          <w:rFonts w:hAnsi="Cambria Math" w:eastAsia="仿宋"/>
          <w:i w:val="0"/>
          <w:iCs/>
          <w:color w:val="auto"/>
          <w:sz w:val="30"/>
          <w:szCs w:val="30"/>
          <w:highlight w:val="none"/>
        </w:rPr>
      </w:pPr>
      <m:oMathPara>
        <m:oMathParaPr>
          <m:jc m:val="center"/>
        </m:oMathParaPr>
        <m:oMath>
          <m:sSup>
            <m:sSupPr>
              <m:ctrlPr>
                <w:rPr>
                  <w:rFonts w:ascii="Cambria Math" w:hAnsi="Cambria Math" w:eastAsia="仿宋"/>
                  <w:i/>
                  <w:iCs/>
                  <w:color w:val="auto"/>
                  <w:sz w:val="30"/>
                  <w:szCs w:val="30"/>
                  <w:highlight w:val="none"/>
                </w:rPr>
              </m:ctrlPr>
            </m:sSupPr>
            <m:e>
              <m:r>
                <m:rPr>
                  <m:sty m:val="p"/>
                </m:rPr>
                <w:rPr>
                  <w:rFonts w:hint="eastAsia" w:ascii="Cambria Math" w:hAnsi="Cambria Math" w:eastAsia="仿宋"/>
                  <w:color w:val="auto"/>
                  <w:sz w:val="30"/>
                  <w:szCs w:val="30"/>
                  <w:highlight w:val="none"/>
                </w:rPr>
                <m:t>得分</m:t>
              </m:r>
              <m:r>
                <m:rPr/>
                <w:rPr>
                  <w:rFonts w:ascii="Cambria Math" w:hAnsi="Cambria Math" w:eastAsia="仿宋"/>
                  <w:color w:val="auto"/>
                  <w:sz w:val="30"/>
                  <w:szCs w:val="30"/>
                  <w:highlight w:val="none"/>
                </w:rPr>
                <m:t>=</m:t>
              </m:r>
              <m:r>
                <m:rPr/>
                <w:rPr>
                  <w:rFonts w:hint="eastAsia" w:ascii="Cambria Math" w:hAnsi="Cambria Math" w:eastAsia="仿宋"/>
                  <w:color w:val="auto"/>
                  <w:sz w:val="30"/>
                  <w:szCs w:val="30"/>
                  <w:highlight w:val="none"/>
                </w:rPr>
                <m:t>10</m:t>
              </m:r>
              <m:r>
                <m:rPr/>
                <w:rPr>
                  <w:rFonts w:ascii="Cambria Math" w:hAnsi="Cambria Math" w:eastAsia="仿宋"/>
                  <w:color w:val="auto"/>
                  <w:sz w:val="30"/>
                  <w:szCs w:val="30"/>
                  <w:highlight w:val="none"/>
                </w:rPr>
                <m:t>×</m:t>
              </m:r>
              <m:d>
                <m:dPr>
                  <m:ctrlPr>
                    <w:rPr>
                      <w:rFonts w:ascii="Cambria Math" w:hAnsi="Cambria Math" w:eastAsia="仿宋"/>
                      <w:i/>
                      <w:iCs/>
                      <w:color w:val="auto"/>
                      <w:sz w:val="30"/>
                      <w:szCs w:val="30"/>
                      <w:highlight w:val="none"/>
                    </w:rPr>
                  </m:ctrlPr>
                </m:dPr>
                <m:e>
                  <m:f>
                    <m:fPr>
                      <m:ctrlPr>
                        <w:rPr>
                          <w:rFonts w:ascii="Cambria Math" w:hAnsi="Cambria Math" w:eastAsia="仿宋"/>
                          <w:color w:val="auto"/>
                          <w:sz w:val="30"/>
                          <w:szCs w:val="30"/>
                          <w:highlight w:val="none"/>
                        </w:rPr>
                      </m:ctrlPr>
                    </m:fPr>
                    <m:num>
                      <m:r>
                        <m:rPr>
                          <m:sty m:val="p"/>
                        </m:rPr>
                        <w:rPr>
                          <w:rFonts w:hint="eastAsia" w:ascii="Cambria Math" w:hAnsi="Cambria Math" w:eastAsia="仿宋"/>
                          <w:color w:val="auto"/>
                          <w:sz w:val="30"/>
                          <w:szCs w:val="30"/>
                          <w:highlight w:val="none"/>
                        </w:rPr>
                        <m:t>标准成绩</m:t>
                      </m:r>
                      <m:r>
                        <m:rPr>
                          <m:sty m:val="p"/>
                        </m:rPr>
                        <w:rPr>
                          <w:rFonts w:ascii="Cambria Math" w:hAnsi="Cambria Math" w:eastAsia="仿宋"/>
                          <w:color w:val="auto"/>
                          <w:sz w:val="30"/>
                          <w:szCs w:val="30"/>
                          <w:highlight w:val="none"/>
                        </w:rPr>
                        <m:t>[</m:t>
                      </m:r>
                      <m:r>
                        <m:rPr>
                          <m:sty m:val="p"/>
                        </m:rPr>
                        <w:rPr>
                          <w:rFonts w:hint="eastAsia" w:ascii="Cambria Math" w:hAnsi="Cambria Math" w:eastAsia="仿宋"/>
                          <w:color w:val="auto"/>
                          <w:sz w:val="30"/>
                          <w:szCs w:val="30"/>
                          <w:highlight w:val="none"/>
                        </w:rPr>
                        <m:t>单位：秒</m:t>
                      </m:r>
                      <m:r>
                        <m:rPr>
                          <m:sty m:val="p"/>
                        </m:rPr>
                        <w:rPr>
                          <w:rFonts w:ascii="Cambria Math" w:hAnsi="Cambria Math" w:eastAsia="仿宋"/>
                          <w:color w:val="auto"/>
                          <w:sz w:val="30"/>
                          <w:szCs w:val="30"/>
                          <w:highlight w:val="none"/>
                        </w:rPr>
                        <m:t>]</m:t>
                      </m:r>
                      <m:ctrlPr>
                        <w:rPr>
                          <w:rFonts w:ascii="Cambria Math" w:hAnsi="Cambria Math" w:eastAsia="仿宋"/>
                          <w:color w:val="auto"/>
                          <w:sz w:val="30"/>
                          <w:szCs w:val="30"/>
                          <w:highlight w:val="none"/>
                        </w:rPr>
                      </m:ctrlPr>
                    </m:num>
                    <m:den>
                      <m:r>
                        <m:rPr>
                          <m:sty m:val="p"/>
                        </m:rPr>
                        <w:rPr>
                          <w:rFonts w:hint="eastAsia" w:ascii="Cambria Math" w:hAnsi="Cambria Math" w:eastAsia="仿宋"/>
                          <w:color w:val="auto"/>
                          <w:sz w:val="30"/>
                          <w:szCs w:val="30"/>
                          <w:highlight w:val="none"/>
                        </w:rPr>
                        <m:t>运动员实际完成成绩</m:t>
                      </m:r>
                      <m:r>
                        <m:rPr>
                          <m:sty m:val="p"/>
                        </m:rPr>
                        <w:rPr>
                          <w:rFonts w:ascii="Cambria Math" w:hAnsi="Cambria Math" w:eastAsia="仿宋"/>
                          <w:color w:val="auto"/>
                          <w:sz w:val="30"/>
                          <w:szCs w:val="30"/>
                          <w:highlight w:val="none"/>
                        </w:rPr>
                        <m:t>[</m:t>
                      </m:r>
                      <m:r>
                        <m:rPr>
                          <m:sty m:val="p"/>
                        </m:rPr>
                        <w:rPr>
                          <w:rFonts w:hint="eastAsia" w:ascii="Cambria Math" w:hAnsi="Cambria Math" w:eastAsia="仿宋"/>
                          <w:color w:val="auto"/>
                          <w:sz w:val="30"/>
                          <w:szCs w:val="30"/>
                          <w:highlight w:val="none"/>
                        </w:rPr>
                        <m:t>单位：秒</m:t>
                      </m:r>
                      <m:r>
                        <m:rPr>
                          <m:sty m:val="p"/>
                        </m:rPr>
                        <w:rPr>
                          <w:rFonts w:ascii="Cambria Math" w:hAnsi="Cambria Math" w:eastAsia="仿宋"/>
                          <w:color w:val="auto"/>
                          <w:sz w:val="30"/>
                          <w:szCs w:val="30"/>
                          <w:highlight w:val="none"/>
                        </w:rPr>
                        <m:t>]</m:t>
                      </m:r>
                      <m:ctrlPr>
                        <w:rPr>
                          <w:rFonts w:ascii="Cambria Math" w:hAnsi="Cambria Math" w:eastAsia="仿宋"/>
                          <w:color w:val="auto"/>
                          <w:sz w:val="30"/>
                          <w:szCs w:val="30"/>
                          <w:highlight w:val="none"/>
                        </w:rPr>
                      </m:ctrlPr>
                    </m:den>
                  </m:f>
                  <m:ctrlPr>
                    <w:rPr>
                      <w:rFonts w:ascii="Cambria Math" w:hAnsi="Cambria Math" w:eastAsia="仿宋"/>
                      <w:color w:val="auto"/>
                      <w:sz w:val="30"/>
                      <w:szCs w:val="30"/>
                      <w:highlight w:val="none"/>
                    </w:rPr>
                  </m:ctrlPr>
                </m:e>
              </m:d>
              <m:ctrlPr>
                <w:rPr>
                  <w:rFonts w:ascii="Cambria Math" w:hAnsi="Cambria Math" w:eastAsia="仿宋"/>
                  <w:i/>
                  <w:iCs/>
                  <w:color w:val="auto"/>
                  <w:sz w:val="30"/>
                  <w:szCs w:val="30"/>
                  <w:highlight w:val="none"/>
                </w:rPr>
              </m:ctrlPr>
            </m:e>
            <m:sup>
              <m:r>
                <m:rPr/>
                <w:rPr>
                  <w:rFonts w:hint="eastAsia" w:ascii="Cambria Math" w:hAnsi="Cambria Math" w:eastAsia="仿宋"/>
                  <w:color w:val="auto"/>
                  <w:sz w:val="30"/>
                  <w:szCs w:val="30"/>
                  <w:highlight w:val="none"/>
                </w:rPr>
                <m:t>3</m:t>
              </m:r>
              <m:ctrlPr>
                <w:rPr>
                  <w:rFonts w:ascii="Cambria Math" w:hAnsi="Cambria Math" w:eastAsia="仿宋"/>
                  <w:i/>
                  <w:iCs/>
                  <w:color w:val="auto"/>
                  <w:sz w:val="30"/>
                  <w:szCs w:val="30"/>
                  <w:highlight w:val="none"/>
                </w:rPr>
              </m:ctrlPr>
            </m:sup>
          </m:sSup>
        </m:oMath>
      </m:oMathPara>
    </w:p>
    <w:p w14:paraId="051000E9">
      <w:pPr>
        <w:keepNext w:val="0"/>
        <w:keepLines w:val="0"/>
        <w:pageBreakBefore w:val="0"/>
        <w:kinsoku/>
        <w:wordWrap/>
        <w:overflowPunct/>
        <w:topLinePunct w:val="0"/>
        <w:autoSpaceDE/>
        <w:autoSpaceDN/>
        <w:bidi w:val="0"/>
        <w:adjustRightInd w:val="0"/>
        <w:snapToGrid w:val="0"/>
        <w:spacing w:line="540" w:lineRule="exact"/>
        <w:rPr>
          <w:rFonts w:hint="default" w:hAnsi="Cambria Math" w:eastAsia="仿宋"/>
          <w:i w:val="0"/>
          <w:iCs/>
          <w:color w:val="auto"/>
          <w:sz w:val="30"/>
          <w:szCs w:val="30"/>
          <w:highlight w:val="none"/>
          <w:lang w:val="en-US" w:eastAsia="zh-CN"/>
        </w:rPr>
      </w:pPr>
    </w:p>
    <w:p w14:paraId="0282C1AA">
      <w:pPr>
        <w:keepNext w:val="0"/>
        <w:keepLines w:val="0"/>
        <w:pageBreakBefore w:val="0"/>
        <w:widowControl w:val="0"/>
        <w:kinsoku/>
        <w:wordWrap/>
        <w:autoSpaceDE/>
        <w:autoSpaceDN/>
        <w:bidi w:val="0"/>
        <w:adjustRightInd w:val="0"/>
        <w:snapToGrid w:val="0"/>
        <w:spacing w:line="540" w:lineRule="exact"/>
        <w:ind w:firstLine="564"/>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_GB2312"/>
          <w:b w:val="0"/>
          <w:bCs w:val="0"/>
          <w:color w:val="auto"/>
          <w:sz w:val="28"/>
          <w:szCs w:val="28"/>
          <w:highlight w:val="none"/>
          <w:lang w:val="en-US" w:eastAsia="zh-CN"/>
        </w:rPr>
        <w:t>2</w:t>
      </w:r>
      <w:r>
        <w:rPr>
          <w:rFonts w:hint="default" w:ascii="仿宋" w:hAnsi="仿宋" w:eastAsia="仿宋" w:cs="仿宋_GB2312"/>
          <w:b w:val="0"/>
          <w:bCs w:val="0"/>
          <w:color w:val="auto"/>
          <w:sz w:val="28"/>
          <w:szCs w:val="28"/>
          <w:highlight w:val="none"/>
          <w:lang w:val="en-US" w:eastAsia="zh-CN"/>
        </w:rPr>
        <w:t>00米自由泳得分计算的举例说明：假设总共4名运动员参加</w:t>
      </w:r>
      <w:r>
        <w:rPr>
          <w:rFonts w:hint="eastAsia" w:ascii="仿宋" w:hAnsi="仿宋" w:eastAsia="仿宋" w:cs="仿宋_GB2312"/>
          <w:b w:val="0"/>
          <w:bCs w:val="0"/>
          <w:color w:val="auto"/>
          <w:sz w:val="28"/>
          <w:szCs w:val="28"/>
          <w:highlight w:val="none"/>
          <w:lang w:val="en-US" w:eastAsia="zh-CN"/>
        </w:rPr>
        <w:t>2</w:t>
      </w:r>
      <w:r>
        <w:rPr>
          <w:rFonts w:hint="default" w:ascii="仿宋" w:hAnsi="仿宋" w:eastAsia="仿宋" w:cs="仿宋_GB2312"/>
          <w:b w:val="0"/>
          <w:bCs w:val="0"/>
          <w:color w:val="auto"/>
          <w:sz w:val="28"/>
          <w:szCs w:val="28"/>
          <w:highlight w:val="none"/>
          <w:lang w:val="en-US" w:eastAsia="zh-CN"/>
        </w:rPr>
        <w:t>00米自由泳测试。第一名成绩为</w:t>
      </w:r>
      <w:r>
        <w:rPr>
          <w:rFonts w:hint="eastAsia" w:ascii="仿宋" w:hAnsi="仿宋" w:eastAsia="仿宋" w:cs="仿宋_GB2312"/>
          <w:b w:val="0"/>
          <w:bCs w:val="0"/>
          <w:color w:val="auto"/>
          <w:sz w:val="28"/>
          <w:szCs w:val="28"/>
          <w:highlight w:val="none"/>
          <w:lang w:val="en-US" w:eastAsia="zh-CN"/>
        </w:rPr>
        <w:t>2</w:t>
      </w:r>
      <w:r>
        <w:rPr>
          <w:rFonts w:hint="default" w:ascii="仿宋" w:hAnsi="仿宋" w:eastAsia="仿宋" w:cs="仿宋_GB2312"/>
          <w:b w:val="0"/>
          <w:bCs w:val="0"/>
          <w:color w:val="auto"/>
          <w:sz w:val="28"/>
          <w:szCs w:val="28"/>
          <w:highlight w:val="none"/>
          <w:lang w:val="en-US" w:eastAsia="zh-CN"/>
        </w:rPr>
        <w:t>:</w:t>
      </w:r>
      <w:r>
        <w:rPr>
          <w:rFonts w:hint="eastAsia" w:ascii="仿宋" w:hAnsi="仿宋" w:eastAsia="仿宋" w:cs="仿宋_GB2312"/>
          <w:b w:val="0"/>
          <w:bCs w:val="0"/>
          <w:color w:val="auto"/>
          <w:sz w:val="28"/>
          <w:szCs w:val="28"/>
          <w:highlight w:val="none"/>
          <w:lang w:val="en-US" w:eastAsia="zh-CN"/>
        </w:rPr>
        <w:t>0</w:t>
      </w:r>
      <w:r>
        <w:rPr>
          <w:rFonts w:hint="default" w:ascii="仿宋" w:hAnsi="仿宋" w:eastAsia="仿宋" w:cs="仿宋_GB2312"/>
          <w:b w:val="0"/>
          <w:bCs w:val="0"/>
          <w:color w:val="auto"/>
          <w:sz w:val="28"/>
          <w:szCs w:val="28"/>
          <w:highlight w:val="none"/>
          <w:lang w:val="en-US" w:eastAsia="zh-CN"/>
        </w:rPr>
        <w:t>0.00(折合</w:t>
      </w:r>
      <w:r>
        <w:rPr>
          <w:rFonts w:hint="eastAsia" w:ascii="仿宋" w:hAnsi="仿宋" w:eastAsia="仿宋" w:cs="仿宋_GB2312"/>
          <w:b w:val="0"/>
          <w:bCs w:val="0"/>
          <w:color w:val="auto"/>
          <w:sz w:val="28"/>
          <w:szCs w:val="28"/>
          <w:highlight w:val="none"/>
          <w:lang w:val="en-US" w:eastAsia="zh-CN"/>
        </w:rPr>
        <w:t>12</w:t>
      </w:r>
      <w:r>
        <w:rPr>
          <w:rFonts w:hint="default" w:ascii="仿宋" w:hAnsi="仿宋" w:eastAsia="仿宋" w:cs="仿宋_GB2312"/>
          <w:b w:val="0"/>
          <w:bCs w:val="0"/>
          <w:color w:val="auto"/>
          <w:sz w:val="28"/>
          <w:szCs w:val="28"/>
          <w:highlight w:val="none"/>
          <w:lang w:val="en-US" w:eastAsia="zh-CN"/>
        </w:rPr>
        <w:t>0秒)，第二名成绩为</w:t>
      </w:r>
      <w:r>
        <w:rPr>
          <w:rFonts w:hint="eastAsia" w:ascii="仿宋" w:hAnsi="仿宋" w:eastAsia="仿宋" w:cs="仿宋_GB2312"/>
          <w:b w:val="0"/>
          <w:bCs w:val="0"/>
          <w:color w:val="auto"/>
          <w:sz w:val="28"/>
          <w:szCs w:val="28"/>
          <w:highlight w:val="none"/>
          <w:lang w:val="en-US" w:eastAsia="zh-CN"/>
        </w:rPr>
        <w:t>2</w:t>
      </w:r>
      <w:r>
        <w:rPr>
          <w:rFonts w:hint="default" w:ascii="仿宋" w:hAnsi="仿宋" w:eastAsia="仿宋" w:cs="仿宋_GB2312"/>
          <w:b w:val="0"/>
          <w:bCs w:val="0"/>
          <w:color w:val="auto"/>
          <w:sz w:val="28"/>
          <w:szCs w:val="28"/>
          <w:highlight w:val="none"/>
          <w:lang w:val="en-US" w:eastAsia="zh-CN"/>
        </w:rPr>
        <w:t>:</w:t>
      </w:r>
      <w:r>
        <w:rPr>
          <w:rFonts w:hint="eastAsia" w:ascii="仿宋" w:hAnsi="仿宋" w:eastAsia="仿宋" w:cs="仿宋_GB2312"/>
          <w:b w:val="0"/>
          <w:bCs w:val="0"/>
          <w:color w:val="auto"/>
          <w:sz w:val="28"/>
          <w:szCs w:val="28"/>
          <w:highlight w:val="none"/>
          <w:lang w:val="en-US" w:eastAsia="zh-CN"/>
        </w:rPr>
        <w:t>10</w:t>
      </w:r>
      <w:r>
        <w:rPr>
          <w:rFonts w:hint="default" w:ascii="仿宋" w:hAnsi="仿宋" w:eastAsia="仿宋" w:cs="仿宋_GB2312"/>
          <w:b w:val="0"/>
          <w:bCs w:val="0"/>
          <w:color w:val="auto"/>
          <w:sz w:val="28"/>
          <w:szCs w:val="28"/>
          <w:highlight w:val="none"/>
          <w:lang w:val="en-US" w:eastAsia="zh-CN"/>
        </w:rPr>
        <w:t>.00(折合</w:t>
      </w:r>
      <w:r>
        <w:rPr>
          <w:rFonts w:hint="eastAsia" w:ascii="仿宋" w:hAnsi="仿宋" w:eastAsia="仿宋" w:cs="仿宋_GB2312"/>
          <w:b w:val="0"/>
          <w:bCs w:val="0"/>
          <w:color w:val="auto"/>
          <w:sz w:val="28"/>
          <w:szCs w:val="28"/>
          <w:highlight w:val="none"/>
          <w:lang w:val="en-US" w:eastAsia="zh-CN"/>
        </w:rPr>
        <w:t>130</w:t>
      </w:r>
      <w:r>
        <w:rPr>
          <w:rFonts w:hint="default" w:ascii="仿宋" w:hAnsi="仿宋" w:eastAsia="仿宋" w:cs="仿宋_GB2312"/>
          <w:b w:val="0"/>
          <w:bCs w:val="0"/>
          <w:color w:val="auto"/>
          <w:sz w:val="28"/>
          <w:szCs w:val="28"/>
          <w:highlight w:val="none"/>
          <w:lang w:val="en-US" w:eastAsia="zh-CN"/>
        </w:rPr>
        <w:t>秒)，第三名成绩为</w:t>
      </w:r>
      <w:r>
        <w:rPr>
          <w:rFonts w:hint="eastAsia" w:ascii="仿宋" w:hAnsi="仿宋" w:eastAsia="仿宋" w:cs="仿宋_GB2312"/>
          <w:b w:val="0"/>
          <w:bCs w:val="0"/>
          <w:color w:val="auto"/>
          <w:sz w:val="28"/>
          <w:szCs w:val="28"/>
          <w:highlight w:val="none"/>
          <w:lang w:val="en-US" w:eastAsia="zh-CN"/>
        </w:rPr>
        <w:t>2</w:t>
      </w:r>
      <w:r>
        <w:rPr>
          <w:rFonts w:hint="default" w:ascii="仿宋" w:hAnsi="仿宋" w:eastAsia="仿宋" w:cs="仿宋_GB2312"/>
          <w:b w:val="0"/>
          <w:bCs w:val="0"/>
          <w:color w:val="auto"/>
          <w:sz w:val="28"/>
          <w:szCs w:val="28"/>
          <w:highlight w:val="none"/>
          <w:lang w:val="en-US" w:eastAsia="zh-CN"/>
        </w:rPr>
        <w:t>:</w:t>
      </w:r>
      <w:r>
        <w:rPr>
          <w:rFonts w:hint="eastAsia" w:ascii="仿宋" w:hAnsi="仿宋" w:eastAsia="仿宋" w:cs="仿宋_GB2312"/>
          <w:b w:val="0"/>
          <w:bCs w:val="0"/>
          <w:color w:val="auto"/>
          <w:sz w:val="28"/>
          <w:szCs w:val="28"/>
          <w:highlight w:val="none"/>
          <w:lang w:val="en-US" w:eastAsia="zh-CN"/>
        </w:rPr>
        <w:t>2</w:t>
      </w:r>
      <w:r>
        <w:rPr>
          <w:rFonts w:hint="default" w:ascii="仿宋" w:hAnsi="仿宋" w:eastAsia="仿宋" w:cs="仿宋_GB2312"/>
          <w:b w:val="0"/>
          <w:bCs w:val="0"/>
          <w:color w:val="auto"/>
          <w:sz w:val="28"/>
          <w:szCs w:val="28"/>
          <w:highlight w:val="none"/>
          <w:lang w:val="en-US" w:eastAsia="zh-CN"/>
        </w:rPr>
        <w:t>0.</w:t>
      </w:r>
      <w:r>
        <w:rPr>
          <w:rFonts w:hint="eastAsia" w:ascii="仿宋" w:hAnsi="仿宋" w:eastAsia="仿宋" w:cs="仿宋_GB2312"/>
          <w:b w:val="0"/>
          <w:bCs w:val="0"/>
          <w:color w:val="auto"/>
          <w:sz w:val="28"/>
          <w:szCs w:val="28"/>
          <w:highlight w:val="none"/>
          <w:lang w:val="en-US" w:eastAsia="zh-CN"/>
        </w:rPr>
        <w:t>25</w:t>
      </w:r>
      <w:r>
        <w:rPr>
          <w:rFonts w:hint="default" w:ascii="仿宋" w:hAnsi="仿宋" w:eastAsia="仿宋" w:cs="仿宋_GB2312"/>
          <w:b w:val="0"/>
          <w:bCs w:val="0"/>
          <w:color w:val="auto"/>
          <w:sz w:val="28"/>
          <w:szCs w:val="28"/>
          <w:highlight w:val="none"/>
          <w:lang w:val="en-US" w:eastAsia="zh-CN"/>
        </w:rPr>
        <w:t>(折合</w:t>
      </w:r>
      <w:r>
        <w:rPr>
          <w:rFonts w:hint="eastAsia" w:ascii="仿宋" w:hAnsi="仿宋" w:eastAsia="仿宋" w:cs="仿宋_GB2312"/>
          <w:b w:val="0"/>
          <w:bCs w:val="0"/>
          <w:color w:val="auto"/>
          <w:sz w:val="28"/>
          <w:szCs w:val="28"/>
          <w:highlight w:val="none"/>
          <w:lang w:val="en-US" w:eastAsia="zh-CN"/>
        </w:rPr>
        <w:t>14</w:t>
      </w:r>
      <w:r>
        <w:rPr>
          <w:rFonts w:hint="default" w:ascii="仿宋" w:hAnsi="仿宋" w:eastAsia="仿宋" w:cs="仿宋_GB2312"/>
          <w:b w:val="0"/>
          <w:bCs w:val="0"/>
          <w:color w:val="auto"/>
          <w:sz w:val="28"/>
          <w:szCs w:val="28"/>
          <w:highlight w:val="none"/>
          <w:lang w:val="en-US" w:eastAsia="zh-CN"/>
        </w:rPr>
        <w:t>0.25秒)，第四名成绩为</w:t>
      </w:r>
      <w:r>
        <w:rPr>
          <w:rFonts w:hint="eastAsia" w:ascii="仿宋" w:hAnsi="仿宋" w:eastAsia="仿宋" w:cs="仿宋_GB2312"/>
          <w:b w:val="0"/>
          <w:bCs w:val="0"/>
          <w:color w:val="auto"/>
          <w:sz w:val="28"/>
          <w:szCs w:val="28"/>
          <w:highlight w:val="none"/>
          <w:lang w:val="en-US" w:eastAsia="zh-CN"/>
        </w:rPr>
        <w:t>3</w:t>
      </w:r>
      <w:r>
        <w:rPr>
          <w:rFonts w:hint="default" w:ascii="仿宋" w:hAnsi="仿宋" w:eastAsia="仿宋" w:cs="仿宋_GB2312"/>
          <w:b w:val="0"/>
          <w:bCs w:val="0"/>
          <w:color w:val="auto"/>
          <w:sz w:val="28"/>
          <w:szCs w:val="28"/>
          <w:highlight w:val="none"/>
          <w:lang w:val="en-US" w:eastAsia="zh-CN"/>
        </w:rPr>
        <w:t>:10.40(折合</w:t>
      </w:r>
      <w:r>
        <w:rPr>
          <w:rFonts w:hint="eastAsia" w:ascii="仿宋" w:hAnsi="仿宋" w:eastAsia="仿宋" w:cs="仿宋_GB2312"/>
          <w:b w:val="0"/>
          <w:bCs w:val="0"/>
          <w:color w:val="auto"/>
          <w:sz w:val="28"/>
          <w:szCs w:val="28"/>
          <w:highlight w:val="none"/>
          <w:lang w:val="en-US" w:eastAsia="zh-CN"/>
        </w:rPr>
        <w:t>190</w:t>
      </w:r>
      <w:r>
        <w:rPr>
          <w:rFonts w:hint="default" w:ascii="仿宋" w:hAnsi="仿宋" w:eastAsia="仿宋" w:cs="仿宋_GB2312"/>
          <w:b w:val="0"/>
          <w:bCs w:val="0"/>
          <w:color w:val="auto"/>
          <w:sz w:val="28"/>
          <w:szCs w:val="28"/>
          <w:highlight w:val="none"/>
          <w:lang w:val="en-US" w:eastAsia="zh-CN"/>
        </w:rPr>
        <w:t>.4秒)。则第一名运动员成绩</w:t>
      </w:r>
      <w:r>
        <w:rPr>
          <w:rFonts w:hint="eastAsia" w:ascii="仿宋" w:hAnsi="仿宋" w:eastAsia="仿宋" w:cs="仿宋_GB2312"/>
          <w:b w:val="0"/>
          <w:bCs w:val="0"/>
          <w:color w:val="auto"/>
          <w:sz w:val="28"/>
          <w:szCs w:val="28"/>
          <w:highlight w:val="none"/>
          <w:lang w:val="en-US" w:eastAsia="zh-CN"/>
        </w:rPr>
        <w:t>2</w:t>
      </w:r>
      <w:r>
        <w:rPr>
          <w:rFonts w:hint="default" w:ascii="仿宋" w:hAnsi="仿宋" w:eastAsia="仿宋" w:cs="仿宋_GB2312"/>
          <w:b w:val="0"/>
          <w:bCs w:val="0"/>
          <w:color w:val="auto"/>
          <w:sz w:val="28"/>
          <w:szCs w:val="28"/>
          <w:highlight w:val="none"/>
          <w:lang w:val="en-US" w:eastAsia="zh-CN"/>
        </w:rPr>
        <w:t>:</w:t>
      </w:r>
      <w:r>
        <w:rPr>
          <w:rFonts w:hint="eastAsia" w:ascii="仿宋" w:hAnsi="仿宋" w:eastAsia="仿宋" w:cs="仿宋_GB2312"/>
          <w:b w:val="0"/>
          <w:bCs w:val="0"/>
          <w:color w:val="auto"/>
          <w:sz w:val="28"/>
          <w:szCs w:val="28"/>
          <w:highlight w:val="none"/>
          <w:lang w:val="en-US" w:eastAsia="zh-CN"/>
        </w:rPr>
        <w:t>0</w:t>
      </w:r>
      <w:r>
        <w:rPr>
          <w:rFonts w:hint="default" w:ascii="仿宋" w:hAnsi="仿宋" w:eastAsia="仿宋" w:cs="仿宋_GB2312"/>
          <w:b w:val="0"/>
          <w:bCs w:val="0"/>
          <w:color w:val="auto"/>
          <w:sz w:val="28"/>
          <w:szCs w:val="28"/>
          <w:highlight w:val="none"/>
          <w:lang w:val="en-US" w:eastAsia="zh-CN"/>
        </w:rPr>
        <w:t>0.00(</w:t>
      </w:r>
      <w:r>
        <w:rPr>
          <w:rFonts w:hint="eastAsia" w:ascii="仿宋" w:hAnsi="仿宋" w:eastAsia="仿宋" w:cs="仿宋_GB2312"/>
          <w:b w:val="0"/>
          <w:bCs w:val="0"/>
          <w:color w:val="auto"/>
          <w:sz w:val="28"/>
          <w:szCs w:val="28"/>
          <w:highlight w:val="none"/>
          <w:lang w:val="en-US" w:eastAsia="zh-CN"/>
        </w:rPr>
        <w:t>12</w:t>
      </w:r>
      <w:r>
        <w:rPr>
          <w:rFonts w:hint="default" w:ascii="仿宋" w:hAnsi="仿宋" w:eastAsia="仿宋" w:cs="仿宋_GB2312"/>
          <w:b w:val="0"/>
          <w:bCs w:val="0"/>
          <w:color w:val="auto"/>
          <w:sz w:val="28"/>
          <w:szCs w:val="28"/>
          <w:highlight w:val="none"/>
          <w:lang w:val="en-US" w:eastAsia="zh-CN"/>
        </w:rPr>
        <w:t>0秒)记为标准成绩，得分为10分；第二名运动员得分按公式计算为10×(</w:t>
      </w:r>
      <w:r>
        <w:rPr>
          <w:rFonts w:hint="eastAsia" w:ascii="仿宋" w:hAnsi="仿宋" w:eastAsia="仿宋" w:cs="仿宋_GB2312"/>
          <w:b w:val="0"/>
          <w:bCs w:val="0"/>
          <w:color w:val="auto"/>
          <w:sz w:val="28"/>
          <w:szCs w:val="28"/>
          <w:highlight w:val="none"/>
          <w:lang w:val="en-US" w:eastAsia="zh-CN"/>
        </w:rPr>
        <w:t>12</w:t>
      </w:r>
      <w:r>
        <w:rPr>
          <w:rFonts w:hint="default" w:ascii="仿宋" w:hAnsi="仿宋" w:eastAsia="仿宋" w:cs="仿宋_GB2312"/>
          <w:b w:val="0"/>
          <w:bCs w:val="0"/>
          <w:color w:val="auto"/>
          <w:sz w:val="28"/>
          <w:szCs w:val="28"/>
          <w:highlight w:val="none"/>
          <w:lang w:val="en-US" w:eastAsia="zh-CN"/>
        </w:rPr>
        <w:t>0÷</w:t>
      </w:r>
      <w:r>
        <w:rPr>
          <w:rFonts w:hint="eastAsia" w:ascii="仿宋" w:hAnsi="仿宋" w:eastAsia="仿宋" w:cs="仿宋_GB2312"/>
          <w:b w:val="0"/>
          <w:bCs w:val="0"/>
          <w:color w:val="auto"/>
          <w:sz w:val="28"/>
          <w:szCs w:val="28"/>
          <w:highlight w:val="none"/>
          <w:lang w:val="en-US" w:eastAsia="zh-CN"/>
        </w:rPr>
        <w:t>130</w:t>
      </w:r>
      <w:r>
        <w:rPr>
          <w:rFonts w:hint="default" w:ascii="仿宋" w:hAnsi="仿宋" w:eastAsia="仿宋" w:cs="仿宋_GB2312"/>
          <w:b w:val="0"/>
          <w:bCs w:val="0"/>
          <w:color w:val="auto"/>
          <w:sz w:val="28"/>
          <w:szCs w:val="28"/>
          <w:highlight w:val="none"/>
          <w:lang w:val="en-US" w:eastAsia="zh-CN"/>
        </w:rPr>
        <w:t>)³=</w:t>
      </w:r>
      <w:r>
        <w:rPr>
          <w:rFonts w:hint="eastAsia" w:ascii="仿宋" w:hAnsi="仿宋" w:eastAsia="仿宋" w:cs="仿宋_GB2312"/>
          <w:b w:val="0"/>
          <w:bCs w:val="0"/>
          <w:color w:val="auto"/>
          <w:sz w:val="28"/>
          <w:szCs w:val="28"/>
          <w:highlight w:val="none"/>
          <w:lang w:val="en-US" w:eastAsia="zh-CN"/>
        </w:rPr>
        <w:t>7.8652</w:t>
      </w:r>
      <w:r>
        <w:rPr>
          <w:rFonts w:hint="default" w:ascii="仿宋" w:hAnsi="仿宋" w:eastAsia="仿宋" w:cs="仿宋_GB2312"/>
          <w:b w:val="0"/>
          <w:bCs w:val="0"/>
          <w:color w:val="auto"/>
          <w:sz w:val="28"/>
          <w:szCs w:val="28"/>
          <w:highlight w:val="none"/>
          <w:lang w:val="en-US" w:eastAsia="zh-CN"/>
        </w:rPr>
        <w:t>，四舍五入后，得分计</w:t>
      </w:r>
      <w:r>
        <w:rPr>
          <w:rFonts w:hint="eastAsia" w:ascii="仿宋" w:hAnsi="仿宋" w:eastAsia="仿宋" w:cs="仿宋_GB2312"/>
          <w:b w:val="0"/>
          <w:bCs w:val="0"/>
          <w:color w:val="auto"/>
          <w:sz w:val="28"/>
          <w:szCs w:val="28"/>
          <w:highlight w:val="none"/>
          <w:lang w:val="en-US" w:eastAsia="zh-CN"/>
        </w:rPr>
        <w:t>7.9</w:t>
      </w:r>
      <w:r>
        <w:rPr>
          <w:rFonts w:hint="default" w:ascii="仿宋" w:hAnsi="仿宋" w:eastAsia="仿宋" w:cs="仿宋_GB2312"/>
          <w:b w:val="0"/>
          <w:bCs w:val="0"/>
          <w:color w:val="auto"/>
          <w:sz w:val="28"/>
          <w:szCs w:val="28"/>
          <w:highlight w:val="none"/>
          <w:lang w:val="en-US" w:eastAsia="zh-CN"/>
        </w:rPr>
        <w:t>分；第三名运动员得分按公式计算为10×(</w:t>
      </w:r>
      <w:r>
        <w:rPr>
          <w:rFonts w:hint="eastAsia" w:ascii="仿宋" w:hAnsi="仿宋" w:eastAsia="仿宋" w:cs="仿宋_GB2312"/>
          <w:b w:val="0"/>
          <w:bCs w:val="0"/>
          <w:color w:val="auto"/>
          <w:sz w:val="28"/>
          <w:szCs w:val="28"/>
          <w:highlight w:val="none"/>
          <w:lang w:val="en-US" w:eastAsia="zh-CN"/>
        </w:rPr>
        <w:t>12</w:t>
      </w:r>
      <w:r>
        <w:rPr>
          <w:rFonts w:hint="default" w:ascii="仿宋" w:hAnsi="仿宋" w:eastAsia="仿宋" w:cs="仿宋_GB2312"/>
          <w:b w:val="0"/>
          <w:bCs w:val="0"/>
          <w:color w:val="auto"/>
          <w:sz w:val="28"/>
          <w:szCs w:val="28"/>
          <w:highlight w:val="none"/>
          <w:lang w:val="en-US" w:eastAsia="zh-CN"/>
        </w:rPr>
        <w:t>0÷</w:t>
      </w:r>
      <w:r>
        <w:rPr>
          <w:rFonts w:hint="eastAsia" w:ascii="仿宋" w:hAnsi="仿宋" w:eastAsia="仿宋" w:cs="仿宋_GB2312"/>
          <w:b w:val="0"/>
          <w:bCs w:val="0"/>
          <w:color w:val="auto"/>
          <w:sz w:val="28"/>
          <w:szCs w:val="28"/>
          <w:highlight w:val="none"/>
          <w:lang w:val="en-US" w:eastAsia="zh-CN"/>
        </w:rPr>
        <w:t>140</w:t>
      </w:r>
      <w:r>
        <w:rPr>
          <w:rFonts w:hint="default" w:ascii="仿宋" w:hAnsi="仿宋" w:eastAsia="仿宋" w:cs="仿宋_GB2312"/>
          <w:b w:val="0"/>
          <w:bCs w:val="0"/>
          <w:color w:val="auto"/>
          <w:sz w:val="28"/>
          <w:szCs w:val="28"/>
          <w:highlight w:val="none"/>
          <w:lang w:val="en-US" w:eastAsia="zh-CN"/>
        </w:rPr>
        <w:t>.25)³=</w:t>
      </w:r>
      <w:r>
        <w:rPr>
          <w:rFonts w:hint="eastAsia" w:ascii="仿宋" w:hAnsi="仿宋" w:eastAsia="仿宋" w:cs="仿宋_GB2312"/>
          <w:b w:val="0"/>
          <w:bCs w:val="0"/>
          <w:color w:val="auto"/>
          <w:sz w:val="28"/>
          <w:szCs w:val="28"/>
          <w:highlight w:val="none"/>
          <w:lang w:val="en-US" w:eastAsia="zh-CN"/>
        </w:rPr>
        <w:t>6.2637</w:t>
      </w:r>
      <w:r>
        <w:rPr>
          <w:rFonts w:hint="default" w:ascii="仿宋" w:hAnsi="仿宋" w:eastAsia="仿宋" w:cs="仿宋_GB2312"/>
          <w:b w:val="0"/>
          <w:bCs w:val="0"/>
          <w:color w:val="auto"/>
          <w:sz w:val="28"/>
          <w:szCs w:val="28"/>
          <w:highlight w:val="none"/>
          <w:lang w:val="en-US" w:eastAsia="zh-CN"/>
        </w:rPr>
        <w:t>，四舍五入后，得分计</w:t>
      </w:r>
      <w:r>
        <w:rPr>
          <w:rFonts w:hint="eastAsia" w:ascii="仿宋" w:hAnsi="仿宋" w:eastAsia="仿宋" w:cs="仿宋_GB2312"/>
          <w:b w:val="0"/>
          <w:bCs w:val="0"/>
          <w:color w:val="auto"/>
          <w:sz w:val="28"/>
          <w:szCs w:val="28"/>
          <w:highlight w:val="none"/>
          <w:lang w:val="en-US" w:eastAsia="zh-CN"/>
        </w:rPr>
        <w:t>6</w:t>
      </w:r>
      <w:r>
        <w:rPr>
          <w:rFonts w:hint="default" w:ascii="仿宋" w:hAnsi="仿宋" w:eastAsia="仿宋" w:cs="仿宋_GB2312"/>
          <w:b w:val="0"/>
          <w:bCs w:val="0"/>
          <w:color w:val="auto"/>
          <w:sz w:val="28"/>
          <w:szCs w:val="28"/>
          <w:highlight w:val="none"/>
          <w:lang w:val="en-US" w:eastAsia="zh-CN"/>
        </w:rPr>
        <w:t>.</w:t>
      </w:r>
      <w:r>
        <w:rPr>
          <w:rFonts w:hint="eastAsia" w:ascii="仿宋" w:hAnsi="仿宋" w:eastAsia="仿宋" w:cs="仿宋_GB2312"/>
          <w:b w:val="0"/>
          <w:bCs w:val="0"/>
          <w:color w:val="auto"/>
          <w:sz w:val="28"/>
          <w:szCs w:val="28"/>
          <w:highlight w:val="none"/>
          <w:lang w:val="en-US" w:eastAsia="zh-CN"/>
        </w:rPr>
        <w:t>3</w:t>
      </w:r>
      <w:r>
        <w:rPr>
          <w:rFonts w:hint="default" w:ascii="仿宋" w:hAnsi="仿宋" w:eastAsia="仿宋" w:cs="仿宋_GB2312"/>
          <w:b w:val="0"/>
          <w:bCs w:val="0"/>
          <w:color w:val="auto"/>
          <w:sz w:val="28"/>
          <w:szCs w:val="28"/>
          <w:highlight w:val="none"/>
          <w:lang w:val="en-US" w:eastAsia="zh-CN"/>
        </w:rPr>
        <w:t>分；第四名运动员得分按公式计算为10×(</w:t>
      </w:r>
      <w:r>
        <w:rPr>
          <w:rFonts w:hint="eastAsia" w:ascii="仿宋" w:hAnsi="仿宋" w:eastAsia="仿宋" w:cs="仿宋_GB2312"/>
          <w:b w:val="0"/>
          <w:bCs w:val="0"/>
          <w:color w:val="auto"/>
          <w:sz w:val="28"/>
          <w:szCs w:val="28"/>
          <w:highlight w:val="none"/>
          <w:lang w:val="en-US" w:eastAsia="zh-CN"/>
        </w:rPr>
        <w:t>120</w:t>
      </w:r>
      <w:r>
        <w:rPr>
          <w:rFonts w:hint="default" w:ascii="仿宋" w:hAnsi="仿宋" w:eastAsia="仿宋" w:cs="仿宋_GB2312"/>
          <w:b w:val="0"/>
          <w:bCs w:val="0"/>
          <w:color w:val="auto"/>
          <w:sz w:val="28"/>
          <w:szCs w:val="28"/>
          <w:highlight w:val="none"/>
          <w:lang w:val="en-US" w:eastAsia="zh-CN"/>
        </w:rPr>
        <w:t>÷</w:t>
      </w:r>
      <w:r>
        <w:rPr>
          <w:rFonts w:hint="eastAsia" w:ascii="仿宋" w:hAnsi="仿宋" w:eastAsia="仿宋" w:cs="仿宋_GB2312"/>
          <w:b w:val="0"/>
          <w:bCs w:val="0"/>
          <w:color w:val="auto"/>
          <w:sz w:val="28"/>
          <w:szCs w:val="28"/>
          <w:highlight w:val="none"/>
          <w:lang w:val="en-US" w:eastAsia="zh-CN"/>
        </w:rPr>
        <w:t>190.4</w:t>
      </w:r>
      <w:r>
        <w:rPr>
          <w:rFonts w:hint="default" w:ascii="仿宋" w:hAnsi="仿宋" w:eastAsia="仿宋" w:cs="仿宋_GB2312"/>
          <w:b w:val="0"/>
          <w:bCs w:val="0"/>
          <w:color w:val="auto"/>
          <w:sz w:val="28"/>
          <w:szCs w:val="28"/>
          <w:highlight w:val="none"/>
          <w:lang w:val="en-US" w:eastAsia="zh-CN"/>
        </w:rPr>
        <w:t>)³=</w:t>
      </w:r>
      <w:r>
        <w:rPr>
          <w:rFonts w:hint="eastAsia" w:ascii="仿宋" w:hAnsi="仿宋" w:eastAsia="仿宋" w:cs="仿宋_GB2312"/>
          <w:b w:val="0"/>
          <w:bCs w:val="0"/>
          <w:color w:val="auto"/>
          <w:sz w:val="28"/>
          <w:szCs w:val="28"/>
          <w:highlight w:val="none"/>
          <w:lang w:val="en-US" w:eastAsia="zh-CN"/>
        </w:rPr>
        <w:t>2</w:t>
      </w:r>
      <w:r>
        <w:rPr>
          <w:rFonts w:hint="default" w:ascii="仿宋" w:hAnsi="仿宋" w:eastAsia="仿宋" w:cs="仿宋_GB2312"/>
          <w:b w:val="0"/>
          <w:bCs w:val="0"/>
          <w:color w:val="auto"/>
          <w:sz w:val="28"/>
          <w:szCs w:val="28"/>
          <w:highlight w:val="none"/>
          <w:lang w:val="en-US" w:eastAsia="zh-CN"/>
        </w:rPr>
        <w:t>.</w:t>
      </w:r>
      <w:r>
        <w:rPr>
          <w:rFonts w:hint="eastAsia" w:ascii="仿宋" w:hAnsi="仿宋" w:eastAsia="仿宋" w:cs="仿宋_GB2312"/>
          <w:b w:val="0"/>
          <w:bCs w:val="0"/>
          <w:color w:val="auto"/>
          <w:sz w:val="28"/>
          <w:szCs w:val="28"/>
          <w:highlight w:val="none"/>
          <w:lang w:val="en-US" w:eastAsia="zh-CN"/>
        </w:rPr>
        <w:t>5034</w:t>
      </w:r>
      <w:r>
        <w:rPr>
          <w:rFonts w:hint="default" w:ascii="仿宋" w:hAnsi="仿宋" w:eastAsia="仿宋" w:cs="仿宋_GB2312"/>
          <w:b w:val="0"/>
          <w:bCs w:val="0"/>
          <w:color w:val="auto"/>
          <w:sz w:val="28"/>
          <w:szCs w:val="28"/>
          <w:highlight w:val="none"/>
          <w:lang w:val="en-US" w:eastAsia="zh-CN"/>
        </w:rPr>
        <w:t>，四舍五入后，得分计</w:t>
      </w:r>
      <w:r>
        <w:rPr>
          <w:rFonts w:hint="eastAsia" w:ascii="仿宋" w:hAnsi="仿宋" w:eastAsia="仿宋" w:cs="仿宋_GB2312"/>
          <w:b w:val="0"/>
          <w:bCs w:val="0"/>
          <w:color w:val="auto"/>
          <w:sz w:val="28"/>
          <w:szCs w:val="28"/>
          <w:highlight w:val="none"/>
          <w:lang w:val="en-US" w:eastAsia="zh-CN"/>
        </w:rPr>
        <w:t>2</w:t>
      </w:r>
      <w:r>
        <w:rPr>
          <w:rFonts w:hint="default" w:ascii="仿宋" w:hAnsi="仿宋" w:eastAsia="仿宋" w:cs="仿宋_GB2312"/>
          <w:b w:val="0"/>
          <w:bCs w:val="0"/>
          <w:color w:val="auto"/>
          <w:sz w:val="28"/>
          <w:szCs w:val="28"/>
          <w:highlight w:val="none"/>
          <w:lang w:val="en-US" w:eastAsia="zh-CN"/>
        </w:rPr>
        <w:t>.</w:t>
      </w:r>
      <w:r>
        <w:rPr>
          <w:rFonts w:hint="eastAsia" w:ascii="仿宋" w:hAnsi="仿宋" w:eastAsia="仿宋" w:cs="仿宋_GB2312"/>
          <w:b w:val="0"/>
          <w:bCs w:val="0"/>
          <w:color w:val="auto"/>
          <w:sz w:val="28"/>
          <w:szCs w:val="28"/>
          <w:highlight w:val="none"/>
          <w:lang w:val="en-US" w:eastAsia="zh-CN"/>
        </w:rPr>
        <w:t>5</w:t>
      </w:r>
      <w:r>
        <w:rPr>
          <w:rFonts w:hint="default" w:ascii="仿宋" w:hAnsi="仿宋" w:eastAsia="仿宋" w:cs="仿宋_GB2312"/>
          <w:b w:val="0"/>
          <w:bCs w:val="0"/>
          <w:color w:val="auto"/>
          <w:sz w:val="28"/>
          <w:szCs w:val="28"/>
          <w:highlight w:val="none"/>
          <w:lang w:val="en-US" w:eastAsia="zh-CN"/>
        </w:rPr>
        <w:t>分。</w:t>
      </w:r>
    </w:p>
    <w:p w14:paraId="7E49107E">
      <w:pPr>
        <w:keepNext w:val="0"/>
        <w:keepLines w:val="0"/>
        <w:pageBreakBefore w:val="0"/>
        <w:widowControl w:val="0"/>
        <w:numPr>
          <w:ilvl w:val="0"/>
          <w:numId w:val="0"/>
        </w:numPr>
        <w:kinsoku/>
        <w:wordWrap/>
        <w:autoSpaceDE/>
        <w:autoSpaceDN/>
        <w:bidi w:val="0"/>
        <w:adjustRightInd w:val="0"/>
        <w:snapToGrid w:val="0"/>
        <w:spacing w:line="54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3、潜泳测试按照第一名潜泳距离作为标准成绩，计算方式同上。</w:t>
      </w:r>
    </w:p>
    <w:p w14:paraId="1E521C02">
      <w:pPr>
        <w:keepNext w:val="0"/>
        <w:keepLines w:val="0"/>
        <w:pageBreakBefore w:val="0"/>
        <w:kinsoku/>
        <w:wordWrap/>
        <w:overflowPunct/>
        <w:topLinePunct w:val="0"/>
        <w:autoSpaceDE/>
        <w:autoSpaceDN/>
        <w:bidi w:val="0"/>
        <w:adjustRightInd w:val="0"/>
        <w:snapToGrid w:val="0"/>
        <w:spacing w:line="540" w:lineRule="exact"/>
        <w:ind w:firstLine="560" w:firstLineChars="200"/>
        <w:rPr>
          <w:rFonts w:hint="default" w:ascii="仿宋" w:hAnsi="仿宋" w:eastAsia="仿宋" w:cs="仿宋_GB2312"/>
          <w:b w:val="0"/>
          <w:bCs w:val="0"/>
          <w:color w:val="auto"/>
          <w:sz w:val="28"/>
          <w:szCs w:val="28"/>
          <w:highlight w:val="none"/>
          <w:lang w:val="en-US" w:eastAsia="zh-CN"/>
        </w:rPr>
      </w:pPr>
      <w:r>
        <w:rPr>
          <w:rFonts w:hint="eastAsia" w:ascii="仿宋" w:hAnsi="仿宋" w:eastAsia="仿宋" w:cs="仿宋_GB2312"/>
          <w:b w:val="0"/>
          <w:bCs w:val="0"/>
          <w:color w:val="auto"/>
          <w:sz w:val="28"/>
          <w:szCs w:val="28"/>
          <w:highlight w:val="none"/>
          <w:lang w:val="en-US" w:eastAsia="zh-CN"/>
        </w:rPr>
        <w:t>4、规定动作最终得分按照实际报名参加全能项目运动员中第一名规定动作成绩作为标准成绩，</w:t>
      </w:r>
      <w:r>
        <w:rPr>
          <w:rFonts w:hint="default" w:ascii="仿宋" w:hAnsi="仿宋" w:eastAsia="仿宋" w:cs="仿宋_GB2312"/>
          <w:b w:val="0"/>
          <w:bCs w:val="0"/>
          <w:color w:val="auto"/>
          <w:sz w:val="28"/>
          <w:szCs w:val="28"/>
          <w:highlight w:val="none"/>
          <w:lang w:val="en-US" w:eastAsia="zh-CN"/>
        </w:rPr>
        <w:t>得分计算参考以下公式，运动员得分按四舍五入法则，精确到小数点后一位。</w:t>
      </w:r>
    </w:p>
    <w:p w14:paraId="417B4811">
      <w:pPr>
        <w:keepNext w:val="0"/>
        <w:keepLines w:val="0"/>
        <w:pageBreakBefore w:val="0"/>
        <w:numPr>
          <w:ilvl w:val="0"/>
          <w:numId w:val="0"/>
        </w:numPr>
        <w:kinsoku/>
        <w:wordWrap/>
        <w:overflowPunct/>
        <w:topLinePunct w:val="0"/>
        <w:autoSpaceDE/>
        <w:autoSpaceDN/>
        <w:bidi w:val="0"/>
        <w:adjustRightInd w:val="0"/>
        <w:snapToGrid w:val="0"/>
        <w:spacing w:line="540" w:lineRule="exact"/>
        <w:rPr>
          <w:rFonts w:hint="default" w:ascii="仿宋" w:hAnsi="仿宋" w:eastAsia="仿宋" w:cs="仿宋_GB2312"/>
          <w:color w:val="auto"/>
          <w:sz w:val="28"/>
          <w:szCs w:val="28"/>
          <w:highlight w:val="none"/>
          <w:lang w:val="en-US" w:eastAsia="zh-CN"/>
        </w:rPr>
      </w:pPr>
    </w:p>
    <w:p w14:paraId="2C25F574">
      <w:pPr>
        <w:keepNext w:val="0"/>
        <w:keepLines w:val="0"/>
        <w:pageBreakBefore w:val="0"/>
        <w:widowControl/>
        <w:suppressLineNumbers w:val="0"/>
        <w:kinsoku/>
        <w:wordWrap/>
        <w:overflowPunct/>
        <w:topLinePunct w:val="0"/>
        <w:autoSpaceDE/>
        <w:autoSpaceDN/>
        <w:bidi w:val="0"/>
        <w:adjustRightInd w:val="0"/>
        <w:snapToGrid w:val="0"/>
        <w:spacing w:line="540" w:lineRule="exact"/>
        <w:ind w:firstLine="600" w:firstLineChars="200"/>
        <w:jc w:val="left"/>
        <w:rPr>
          <w:rFonts w:hAnsi="Cambria Math" w:eastAsia="仿宋"/>
          <w:i w:val="0"/>
          <w:iCs/>
          <w:color w:val="auto"/>
          <w:sz w:val="30"/>
          <w:szCs w:val="30"/>
          <w:highlight w:val="none"/>
        </w:rPr>
      </w:pPr>
      <m:oMathPara>
        <m:oMathParaPr>
          <m:jc m:val="center"/>
        </m:oMathParaPr>
        <m:oMath>
          <m:sSup>
            <m:sSupPr>
              <m:ctrlPr>
                <w:rPr>
                  <w:rFonts w:ascii="Cambria Math" w:hAnsi="Cambria Math" w:eastAsia="仿宋"/>
                  <w:i/>
                  <w:iCs/>
                  <w:color w:val="auto"/>
                  <w:sz w:val="30"/>
                  <w:szCs w:val="30"/>
                  <w:highlight w:val="none"/>
                </w:rPr>
              </m:ctrlPr>
            </m:sSupPr>
            <m:e>
              <m:r>
                <m:rPr>
                  <m:sty m:val="p"/>
                </m:rPr>
                <w:rPr>
                  <w:rFonts w:hint="eastAsia" w:ascii="Cambria Math" w:hAnsi="Cambria Math" w:eastAsia="仿宋"/>
                  <w:color w:val="auto"/>
                  <w:sz w:val="30"/>
                  <w:szCs w:val="30"/>
                  <w:highlight w:val="none"/>
                </w:rPr>
                <m:t>得分</m:t>
              </m:r>
              <m:r>
                <m:rPr/>
                <w:rPr>
                  <w:rFonts w:ascii="Cambria Math" w:hAnsi="Cambria Math" w:eastAsia="仿宋"/>
                  <w:color w:val="auto"/>
                  <w:sz w:val="30"/>
                  <w:szCs w:val="30"/>
                  <w:highlight w:val="none"/>
                </w:rPr>
                <m:t>=</m:t>
              </m:r>
              <m:r>
                <m:rPr/>
                <w:rPr>
                  <w:rFonts w:hint="eastAsia" w:ascii="Cambria Math" w:hAnsi="Cambria Math" w:eastAsia="仿宋"/>
                  <w:color w:val="auto"/>
                  <w:sz w:val="30"/>
                  <w:szCs w:val="30"/>
                  <w:highlight w:val="none"/>
                </w:rPr>
                <m:t>10</m:t>
              </m:r>
              <m:r>
                <m:rPr/>
                <w:rPr>
                  <w:rFonts w:ascii="Cambria Math" w:hAnsi="Cambria Math" w:eastAsia="仿宋"/>
                  <w:color w:val="auto"/>
                  <w:sz w:val="30"/>
                  <w:szCs w:val="30"/>
                  <w:highlight w:val="none"/>
                </w:rPr>
                <m:t>×</m:t>
              </m:r>
              <m:d>
                <m:dPr>
                  <m:ctrlPr>
                    <w:rPr>
                      <w:rFonts w:ascii="Cambria Math" w:hAnsi="Cambria Math" w:eastAsia="仿宋"/>
                      <w:i/>
                      <w:iCs/>
                      <w:color w:val="auto"/>
                      <w:sz w:val="30"/>
                      <w:szCs w:val="30"/>
                      <w:highlight w:val="none"/>
                    </w:rPr>
                  </m:ctrlPr>
                </m:dPr>
                <m:e>
                  <m:f>
                    <m:fPr>
                      <m:ctrlPr>
                        <w:rPr>
                          <w:rFonts w:ascii="Cambria Math" w:hAnsi="Cambria Math" w:eastAsia="仿宋"/>
                          <w:color w:val="auto"/>
                          <w:sz w:val="30"/>
                          <w:szCs w:val="30"/>
                          <w:highlight w:val="none"/>
                        </w:rPr>
                      </m:ctrlPr>
                    </m:fPr>
                    <m:num>
                      <m:r>
                        <m:rPr>
                          <m:sty m:val="p"/>
                        </m:rPr>
                        <w:rPr>
                          <w:rFonts w:hint="eastAsia" w:ascii="DejaVu Math TeX Gyre" w:hAnsi="DejaVu Math TeX Gyre" w:eastAsia="仿宋"/>
                          <w:color w:val="auto"/>
                          <w:sz w:val="30"/>
                          <w:szCs w:val="30"/>
                          <w:highlight w:val="none"/>
                          <w:lang w:val="en-US" w:eastAsia="zh-CN"/>
                        </w:rPr>
                        <m:t>运动员实际完成的规定动作成绩</m:t>
                      </m:r>
                      <m:ctrlPr>
                        <w:rPr>
                          <w:rFonts w:ascii="Cambria Math" w:hAnsi="Cambria Math" w:eastAsia="仿宋"/>
                          <w:color w:val="auto"/>
                          <w:sz w:val="30"/>
                          <w:szCs w:val="30"/>
                          <w:highlight w:val="none"/>
                        </w:rPr>
                      </m:ctrlPr>
                    </m:num>
                    <m:den>
                      <m:r>
                        <m:rPr>
                          <m:sty m:val="p"/>
                        </m:rPr>
                        <w:rPr>
                          <w:rFonts w:hint="eastAsia" w:ascii="DejaVu Math TeX Gyre" w:hAnsi="DejaVu Math TeX Gyre" w:eastAsia="仿宋"/>
                          <w:color w:val="auto"/>
                          <w:sz w:val="30"/>
                          <w:szCs w:val="30"/>
                          <w:highlight w:val="none"/>
                          <w:lang w:val="en-US" w:eastAsia="zh-CN"/>
                        </w:rPr>
                        <m:t>规定动作标准成绩</m:t>
                      </m:r>
                      <m:ctrlPr>
                        <w:rPr>
                          <w:rFonts w:ascii="Cambria Math" w:hAnsi="Cambria Math" w:eastAsia="仿宋"/>
                          <w:color w:val="auto"/>
                          <w:sz w:val="30"/>
                          <w:szCs w:val="30"/>
                          <w:highlight w:val="none"/>
                        </w:rPr>
                      </m:ctrlPr>
                    </m:den>
                  </m:f>
                  <m:ctrlPr>
                    <w:rPr>
                      <w:rFonts w:ascii="Cambria Math" w:hAnsi="Cambria Math" w:eastAsia="仿宋"/>
                      <w:color w:val="auto"/>
                      <w:sz w:val="30"/>
                      <w:szCs w:val="30"/>
                      <w:highlight w:val="none"/>
                    </w:rPr>
                  </m:ctrlPr>
                </m:e>
              </m:d>
              <m:ctrlPr>
                <w:rPr>
                  <w:rFonts w:ascii="Cambria Math" w:hAnsi="Cambria Math" w:eastAsia="仿宋"/>
                  <w:i/>
                  <w:iCs/>
                  <w:color w:val="auto"/>
                  <w:sz w:val="30"/>
                  <w:szCs w:val="30"/>
                  <w:highlight w:val="none"/>
                </w:rPr>
              </m:ctrlPr>
            </m:e>
            <m:sup>
              <m:r>
                <m:rPr/>
                <w:rPr>
                  <w:rFonts w:hint="eastAsia" w:ascii="Cambria Math" w:hAnsi="Cambria Math" w:eastAsia="仿宋"/>
                  <w:color w:val="auto"/>
                  <w:sz w:val="30"/>
                  <w:szCs w:val="30"/>
                  <w:highlight w:val="none"/>
                </w:rPr>
                <m:t>3</m:t>
              </m:r>
              <m:ctrlPr>
                <w:rPr>
                  <w:rFonts w:ascii="Cambria Math" w:hAnsi="Cambria Math" w:eastAsia="仿宋"/>
                  <w:i/>
                  <w:iCs/>
                  <w:color w:val="auto"/>
                  <w:sz w:val="30"/>
                  <w:szCs w:val="30"/>
                  <w:highlight w:val="none"/>
                </w:rPr>
              </m:ctrlPr>
            </m:sup>
          </m:sSup>
        </m:oMath>
      </m:oMathPara>
    </w:p>
    <w:p w14:paraId="0E831837">
      <w:pPr>
        <w:keepNext w:val="0"/>
        <w:keepLines w:val="0"/>
        <w:pageBreakBefore w:val="0"/>
        <w:numPr>
          <w:ilvl w:val="0"/>
          <w:numId w:val="0"/>
        </w:numPr>
        <w:kinsoku/>
        <w:wordWrap/>
        <w:overflowPunct/>
        <w:topLinePunct w:val="0"/>
        <w:autoSpaceDE/>
        <w:autoSpaceDN/>
        <w:bidi w:val="0"/>
        <w:adjustRightInd w:val="0"/>
        <w:snapToGrid w:val="0"/>
        <w:spacing w:line="540" w:lineRule="exact"/>
        <w:rPr>
          <w:rFonts w:hint="eastAsia" w:ascii="仿宋" w:hAnsi="仿宋" w:eastAsia="仿宋" w:cs="仿宋_GB2312"/>
          <w:b w:val="0"/>
          <w:bCs w:val="0"/>
          <w:color w:val="auto"/>
          <w:sz w:val="28"/>
          <w:szCs w:val="28"/>
          <w:highlight w:val="none"/>
          <w:lang w:val="en-US" w:eastAsia="zh-CN"/>
        </w:rPr>
      </w:pPr>
    </w:p>
    <w:p w14:paraId="077D5488">
      <w:pPr>
        <w:keepNext w:val="0"/>
        <w:keepLines w:val="0"/>
        <w:pageBreakBefore w:val="0"/>
        <w:widowControl w:val="0"/>
        <w:numPr>
          <w:ilvl w:val="0"/>
          <w:numId w:val="0"/>
        </w:numPr>
        <w:kinsoku/>
        <w:wordWrap/>
        <w:autoSpaceDE/>
        <w:autoSpaceDN/>
        <w:bidi w:val="0"/>
        <w:adjustRightInd w:val="0"/>
        <w:snapToGrid w:val="0"/>
        <w:spacing w:line="54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_GB2312"/>
          <w:b w:val="0"/>
          <w:bCs w:val="0"/>
          <w:color w:val="auto"/>
          <w:sz w:val="28"/>
          <w:szCs w:val="28"/>
          <w:highlight w:val="none"/>
          <w:lang w:val="en-US" w:eastAsia="zh-CN"/>
        </w:rPr>
        <w:t>规定动作</w:t>
      </w:r>
      <w:r>
        <w:rPr>
          <w:rFonts w:hint="default" w:ascii="仿宋" w:hAnsi="仿宋" w:eastAsia="仿宋" w:cs="仿宋_GB2312"/>
          <w:b w:val="0"/>
          <w:bCs w:val="0"/>
          <w:color w:val="auto"/>
          <w:sz w:val="28"/>
          <w:szCs w:val="28"/>
          <w:highlight w:val="none"/>
          <w:lang w:val="en-US" w:eastAsia="zh-CN"/>
        </w:rPr>
        <w:t>得分计算的举例说明：假设</w:t>
      </w:r>
      <w:r>
        <w:rPr>
          <w:rFonts w:hint="eastAsia" w:ascii="仿宋" w:hAnsi="仿宋" w:eastAsia="仿宋" w:cs="仿宋_GB2312"/>
          <w:b w:val="0"/>
          <w:bCs w:val="0"/>
          <w:color w:val="auto"/>
          <w:sz w:val="28"/>
          <w:szCs w:val="28"/>
          <w:highlight w:val="none"/>
          <w:lang w:val="en-US" w:eastAsia="zh-CN"/>
        </w:rPr>
        <w:t>总共4</w:t>
      </w:r>
      <w:r>
        <w:rPr>
          <w:rFonts w:hint="default" w:ascii="仿宋" w:hAnsi="仿宋" w:eastAsia="仿宋" w:cs="仿宋_GB2312"/>
          <w:b w:val="0"/>
          <w:bCs w:val="0"/>
          <w:color w:val="auto"/>
          <w:sz w:val="28"/>
          <w:szCs w:val="28"/>
          <w:highlight w:val="none"/>
          <w:lang w:val="en-US" w:eastAsia="zh-CN"/>
        </w:rPr>
        <w:t>名运动员</w:t>
      </w:r>
      <w:r>
        <w:rPr>
          <w:rFonts w:hint="eastAsia" w:ascii="仿宋" w:hAnsi="仿宋" w:eastAsia="仿宋" w:cs="仿宋_GB2312"/>
          <w:b w:val="0"/>
          <w:bCs w:val="0"/>
          <w:color w:val="auto"/>
          <w:sz w:val="28"/>
          <w:szCs w:val="28"/>
          <w:highlight w:val="none"/>
          <w:lang w:val="en-US" w:eastAsia="zh-CN"/>
        </w:rPr>
        <w:t>报名参赛全能项目</w:t>
      </w:r>
      <w:r>
        <w:rPr>
          <w:rFonts w:hint="default" w:ascii="仿宋" w:hAnsi="仿宋" w:eastAsia="仿宋" w:cs="仿宋_GB2312"/>
          <w:b w:val="0"/>
          <w:bCs w:val="0"/>
          <w:color w:val="auto"/>
          <w:sz w:val="28"/>
          <w:szCs w:val="28"/>
          <w:highlight w:val="none"/>
          <w:lang w:val="en-US" w:eastAsia="zh-CN"/>
        </w:rPr>
        <w:t>，</w:t>
      </w:r>
      <w:r>
        <w:rPr>
          <w:rFonts w:hint="eastAsia" w:ascii="仿宋" w:hAnsi="仿宋" w:eastAsia="仿宋" w:cs="仿宋_GB2312"/>
          <w:b w:val="0"/>
          <w:bCs w:val="0"/>
          <w:color w:val="auto"/>
          <w:sz w:val="28"/>
          <w:szCs w:val="28"/>
          <w:highlight w:val="none"/>
          <w:lang w:val="en-US" w:eastAsia="zh-CN"/>
        </w:rPr>
        <w:t>提取其规定动作成绩进行排序，</w:t>
      </w:r>
      <w:r>
        <w:rPr>
          <w:rFonts w:hint="default" w:ascii="仿宋" w:hAnsi="仿宋" w:eastAsia="仿宋" w:cs="仿宋_GB2312"/>
          <w:b w:val="0"/>
          <w:bCs w:val="0"/>
          <w:color w:val="auto"/>
          <w:sz w:val="28"/>
          <w:szCs w:val="28"/>
          <w:highlight w:val="none"/>
          <w:lang w:val="en-US" w:eastAsia="zh-CN"/>
        </w:rPr>
        <w:t>第一名成绩为75.9429分，第二名成绩为69.6951分，第三名成绩为69.2380分，第四名成绩为67.7334分。第一名</w:t>
      </w:r>
      <w:r>
        <w:rPr>
          <w:rFonts w:hint="eastAsia" w:ascii="仿宋" w:hAnsi="仿宋" w:eastAsia="仿宋" w:cs="仿宋_GB2312"/>
          <w:b w:val="0"/>
          <w:bCs w:val="0"/>
          <w:color w:val="auto"/>
          <w:sz w:val="28"/>
          <w:szCs w:val="28"/>
          <w:highlight w:val="none"/>
          <w:lang w:val="en-US" w:eastAsia="zh-CN"/>
        </w:rPr>
        <w:t>成绩</w:t>
      </w:r>
      <w:r>
        <w:rPr>
          <w:rFonts w:hint="default" w:ascii="仿宋" w:hAnsi="仿宋" w:eastAsia="仿宋" w:cs="仿宋_GB2312"/>
          <w:b w:val="0"/>
          <w:bCs w:val="0"/>
          <w:color w:val="auto"/>
          <w:sz w:val="28"/>
          <w:szCs w:val="28"/>
          <w:highlight w:val="none"/>
          <w:lang w:val="en-US" w:eastAsia="zh-CN"/>
        </w:rPr>
        <w:t>75.9429分记为标准成绩，得分为10分。第二名得分按公式计算为10×(75.9429</w:t>
      </w:r>
      <w:r>
        <w:rPr>
          <w:rFonts w:hint="eastAsia" w:ascii="仿宋" w:hAnsi="仿宋" w:eastAsia="仿宋" w:cs="仿宋_GB2312"/>
          <w:b w:val="0"/>
          <w:bCs w:val="0"/>
          <w:color w:val="auto"/>
          <w:sz w:val="28"/>
          <w:szCs w:val="28"/>
          <w:highlight w:val="none"/>
          <w:lang w:val="en-US" w:eastAsia="zh-CN"/>
        </w:rPr>
        <w:t>/</w:t>
      </w:r>
      <w:r>
        <w:rPr>
          <w:rFonts w:hint="default" w:ascii="仿宋" w:hAnsi="仿宋" w:eastAsia="仿宋" w:cs="仿宋_GB2312"/>
          <w:b w:val="0"/>
          <w:bCs w:val="0"/>
          <w:color w:val="auto"/>
          <w:sz w:val="28"/>
          <w:szCs w:val="28"/>
          <w:highlight w:val="none"/>
          <w:lang w:val="en-US" w:eastAsia="zh-CN"/>
        </w:rPr>
        <w:t>69.6951)³≈7.7274，四舍五入后，得分计7.7分。第三名得分按公式计算为10×(75.9429</w:t>
      </w:r>
      <w:r>
        <w:rPr>
          <w:rFonts w:hint="eastAsia" w:ascii="仿宋" w:hAnsi="仿宋" w:eastAsia="仿宋" w:cs="仿宋_GB2312"/>
          <w:b w:val="0"/>
          <w:bCs w:val="0"/>
          <w:color w:val="auto"/>
          <w:sz w:val="28"/>
          <w:szCs w:val="28"/>
          <w:highlight w:val="none"/>
          <w:lang w:val="en-US" w:eastAsia="zh-CN"/>
        </w:rPr>
        <w:t>/</w:t>
      </w:r>
      <w:r>
        <w:rPr>
          <w:rFonts w:hint="default" w:ascii="仿宋" w:hAnsi="仿宋" w:eastAsia="仿宋" w:cs="仿宋_GB2312"/>
          <w:b w:val="0"/>
          <w:bCs w:val="0"/>
          <w:color w:val="auto"/>
          <w:sz w:val="28"/>
          <w:szCs w:val="28"/>
          <w:highlight w:val="none"/>
          <w:lang w:val="en-US" w:eastAsia="zh-CN"/>
        </w:rPr>
        <w:t>69.2380)³≈7.5818，四舍五入后，得分计</w:t>
      </w:r>
      <w:r>
        <w:rPr>
          <w:rFonts w:hint="eastAsia" w:ascii="仿宋" w:hAnsi="仿宋" w:eastAsia="仿宋" w:cs="仿宋_GB2312"/>
          <w:b w:val="0"/>
          <w:bCs w:val="0"/>
          <w:color w:val="auto"/>
          <w:sz w:val="28"/>
          <w:szCs w:val="28"/>
          <w:highlight w:val="none"/>
          <w:lang w:val="en-US" w:eastAsia="zh-CN"/>
        </w:rPr>
        <w:t>7.6</w:t>
      </w:r>
      <w:r>
        <w:rPr>
          <w:rFonts w:hint="default" w:ascii="仿宋" w:hAnsi="仿宋" w:eastAsia="仿宋" w:cs="仿宋_GB2312"/>
          <w:b w:val="0"/>
          <w:bCs w:val="0"/>
          <w:color w:val="auto"/>
          <w:sz w:val="28"/>
          <w:szCs w:val="28"/>
          <w:highlight w:val="none"/>
          <w:lang w:val="en-US" w:eastAsia="zh-CN"/>
        </w:rPr>
        <w:t>分。第四名得分按公式计算为10×(75.9429</w:t>
      </w:r>
      <w:r>
        <w:rPr>
          <w:rFonts w:hint="eastAsia" w:ascii="仿宋" w:hAnsi="仿宋" w:eastAsia="仿宋" w:cs="仿宋_GB2312"/>
          <w:b w:val="0"/>
          <w:bCs w:val="0"/>
          <w:color w:val="auto"/>
          <w:sz w:val="28"/>
          <w:szCs w:val="28"/>
          <w:highlight w:val="none"/>
          <w:lang w:val="en-US" w:eastAsia="zh-CN"/>
        </w:rPr>
        <w:t>/</w:t>
      </w:r>
      <w:r>
        <w:rPr>
          <w:rFonts w:hint="default" w:ascii="仿宋" w:hAnsi="仿宋" w:eastAsia="仿宋" w:cs="仿宋_GB2312"/>
          <w:b w:val="0"/>
          <w:bCs w:val="0"/>
          <w:color w:val="auto"/>
          <w:sz w:val="28"/>
          <w:szCs w:val="28"/>
          <w:highlight w:val="none"/>
          <w:lang w:val="en-US" w:eastAsia="zh-CN"/>
        </w:rPr>
        <w:t>67.7334)³≈7.0926，四舍五入后，得分计7.</w:t>
      </w:r>
      <w:r>
        <w:rPr>
          <w:rFonts w:hint="eastAsia" w:ascii="仿宋" w:hAnsi="仿宋" w:eastAsia="仿宋" w:cs="仿宋_GB2312"/>
          <w:b w:val="0"/>
          <w:bCs w:val="0"/>
          <w:color w:val="auto"/>
          <w:sz w:val="28"/>
          <w:szCs w:val="28"/>
          <w:highlight w:val="none"/>
          <w:lang w:val="en-US" w:eastAsia="zh-CN"/>
        </w:rPr>
        <w:t>1</w:t>
      </w:r>
      <w:r>
        <w:rPr>
          <w:rFonts w:hint="default" w:ascii="仿宋" w:hAnsi="仿宋" w:eastAsia="仿宋" w:cs="仿宋_GB2312"/>
          <w:b w:val="0"/>
          <w:bCs w:val="0"/>
          <w:color w:val="auto"/>
          <w:sz w:val="28"/>
          <w:szCs w:val="28"/>
          <w:highlight w:val="none"/>
          <w:lang w:val="en-US" w:eastAsia="zh-CN"/>
        </w:rPr>
        <w:t>分。</w:t>
      </w:r>
    </w:p>
    <w:p w14:paraId="68B10D30">
      <w:pPr>
        <w:keepNext w:val="0"/>
        <w:keepLines w:val="0"/>
        <w:pageBreakBefore w:val="0"/>
        <w:widowControl w:val="0"/>
        <w:kinsoku/>
        <w:wordWrap/>
        <w:autoSpaceDE/>
        <w:autoSpaceDN/>
        <w:bidi w:val="0"/>
        <w:adjustRightInd w:val="0"/>
        <w:snapToGrid w:val="0"/>
        <w:spacing w:line="540" w:lineRule="exact"/>
        <w:ind w:firstLine="564"/>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（十四）出现评分相同，按以下办法决出胜负:</w:t>
      </w:r>
    </w:p>
    <w:p w14:paraId="4A04C010">
      <w:pPr>
        <w:keepNext w:val="0"/>
        <w:keepLines w:val="0"/>
        <w:pageBreakBefore w:val="0"/>
        <w:widowControl w:val="0"/>
        <w:kinsoku/>
        <w:wordWrap/>
        <w:autoSpaceDE/>
        <w:autoSpaceDN/>
        <w:bidi w:val="0"/>
        <w:adjustRightInd w:val="0"/>
        <w:snapToGrid w:val="0"/>
        <w:spacing w:line="540" w:lineRule="exact"/>
        <w:ind w:firstLine="564"/>
        <w:textAlignment w:val="auto"/>
        <w:rPr>
          <w:rFonts w:hint="eastAsia" w:ascii="仿宋" w:hAnsi="仿宋" w:eastAsia="仿宋" w:cs="仿宋"/>
          <w:color w:val="auto"/>
          <w:sz w:val="28"/>
          <w:szCs w:val="28"/>
          <w:highlight w:val="none"/>
          <w:lang w:val="zh-CN" w:eastAsia="zh-CN"/>
        </w:rPr>
      </w:pPr>
      <w:r>
        <w:rPr>
          <w:rFonts w:hint="eastAsia" w:ascii="仿宋" w:hAnsi="仿宋" w:eastAsia="仿宋" w:cs="仿宋"/>
          <w:color w:val="auto"/>
          <w:sz w:val="28"/>
          <w:szCs w:val="28"/>
          <w:highlight w:val="none"/>
          <w:lang w:val="zh-CN" w:eastAsia="zh-CN"/>
        </w:rPr>
        <w:t>1.单人、双人、混双、集体项目、自由组合根据2022-2025世界泳联花样游泳规则AS20.3 执行。</w:t>
      </w:r>
    </w:p>
    <w:p w14:paraId="5D7C7030">
      <w:pPr>
        <w:keepNext w:val="0"/>
        <w:keepLines w:val="0"/>
        <w:pageBreakBefore w:val="0"/>
        <w:widowControl w:val="0"/>
        <w:kinsoku/>
        <w:wordWrap/>
        <w:autoSpaceDE/>
        <w:autoSpaceDN/>
        <w:bidi w:val="0"/>
        <w:adjustRightInd w:val="0"/>
        <w:snapToGrid w:val="0"/>
        <w:spacing w:line="540" w:lineRule="exact"/>
        <w:ind w:firstLine="564"/>
        <w:textAlignment w:val="auto"/>
        <w:rPr>
          <w:rFonts w:hint="eastAsia" w:ascii="仿宋" w:hAnsi="仿宋" w:eastAsia="仿宋" w:cs="仿宋"/>
          <w:color w:val="auto"/>
          <w:sz w:val="28"/>
          <w:szCs w:val="28"/>
          <w:highlight w:val="none"/>
          <w:lang w:val="zh-CN" w:eastAsia="zh-CN"/>
        </w:rPr>
      </w:pPr>
      <w:r>
        <w:rPr>
          <w:rFonts w:hint="eastAsia" w:ascii="仿宋" w:hAnsi="仿宋" w:eastAsia="仿宋" w:cs="仿宋"/>
          <w:color w:val="auto"/>
          <w:sz w:val="28"/>
          <w:szCs w:val="28"/>
          <w:highlight w:val="none"/>
          <w:lang w:val="zh-CN" w:eastAsia="zh-CN"/>
        </w:rPr>
        <w:t>2.全能项目出现评分相同，按规定动作得分，高者列前；如若出现规定动作得分相同，按必做动作得分，高者列前。</w:t>
      </w:r>
    </w:p>
    <w:p w14:paraId="15D2C012">
      <w:pPr>
        <w:keepNext w:val="0"/>
        <w:keepLines w:val="0"/>
        <w:pageBreakBefore w:val="0"/>
        <w:widowControl w:val="0"/>
        <w:kinsoku/>
        <w:wordWrap/>
        <w:autoSpaceDE/>
        <w:autoSpaceDN/>
        <w:bidi w:val="0"/>
        <w:adjustRightInd w:val="0"/>
        <w:snapToGrid w:val="0"/>
        <w:spacing w:line="540" w:lineRule="exact"/>
        <w:ind w:firstLine="564"/>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十一、录取名次、计牌计分和奖励办法</w:t>
      </w:r>
    </w:p>
    <w:p w14:paraId="405493BE">
      <w:pPr>
        <w:keepNext w:val="0"/>
        <w:keepLines w:val="0"/>
        <w:pageBreakBefore w:val="0"/>
        <w:widowControl w:val="0"/>
        <w:kinsoku/>
        <w:wordWrap/>
        <w:autoSpaceDE/>
        <w:autoSpaceDN/>
        <w:bidi w:val="0"/>
        <w:adjustRightInd w:val="0"/>
        <w:snapToGrid w:val="0"/>
        <w:spacing w:line="540" w:lineRule="exact"/>
        <w:ind w:firstLine="564"/>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zh-CN" w:eastAsia="zh-CN"/>
        </w:rPr>
        <w:t>（一）</w:t>
      </w:r>
      <w:r>
        <w:rPr>
          <w:rFonts w:hint="eastAsia" w:ascii="仿宋" w:hAnsi="仿宋" w:eastAsia="仿宋" w:cs="仿宋"/>
          <w:color w:val="auto"/>
          <w:sz w:val="28"/>
          <w:szCs w:val="28"/>
          <w:highlight w:val="none"/>
          <w:lang w:val="en-US" w:eastAsia="zh-CN"/>
        </w:rPr>
        <w:t>个人赛及团体赛各组别各项目录取前八名，不足8队参赛的，则按实际参赛人（队）数录取名次。</w:t>
      </w:r>
    </w:p>
    <w:p w14:paraId="103E7594">
      <w:pPr>
        <w:keepNext w:val="0"/>
        <w:keepLines w:val="0"/>
        <w:pageBreakBefore w:val="0"/>
        <w:widowControl w:val="0"/>
        <w:kinsoku/>
        <w:wordWrap/>
        <w:autoSpaceDE/>
        <w:autoSpaceDN/>
        <w:bidi w:val="0"/>
        <w:adjustRightInd w:val="0"/>
        <w:snapToGrid w:val="0"/>
        <w:spacing w:line="540" w:lineRule="exact"/>
        <w:ind w:firstLine="564"/>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（二）有8队以上（含8队）参赛的，前三名依次按1金、1银、1铜计牌，前8名依次按11、9、8、7、6、5、4、3计分。</w:t>
      </w:r>
    </w:p>
    <w:p w14:paraId="6CDAFCD6">
      <w:pPr>
        <w:keepNext w:val="0"/>
        <w:keepLines w:val="0"/>
        <w:pageBreakBefore w:val="0"/>
        <w:widowControl w:val="0"/>
        <w:kinsoku/>
        <w:wordWrap/>
        <w:autoSpaceDE/>
        <w:autoSpaceDN/>
        <w:bidi w:val="0"/>
        <w:adjustRightInd w:val="0"/>
        <w:snapToGrid w:val="0"/>
        <w:spacing w:line="540" w:lineRule="exact"/>
        <w:ind w:firstLine="564"/>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（三）开展“体育道德风尚奖”评选活动，按照本届运动会竞赛规程总则的有关规定执行。</w:t>
      </w:r>
    </w:p>
    <w:p w14:paraId="28229E9F">
      <w:pPr>
        <w:keepNext w:val="0"/>
        <w:keepLines w:val="0"/>
        <w:pageBreakBefore w:val="0"/>
        <w:widowControl w:val="0"/>
        <w:kinsoku/>
        <w:wordWrap/>
        <w:autoSpaceDE/>
        <w:autoSpaceDN/>
        <w:bidi w:val="0"/>
        <w:adjustRightInd w:val="0"/>
        <w:snapToGrid w:val="0"/>
        <w:spacing w:line="540" w:lineRule="exact"/>
        <w:ind w:firstLine="562" w:firstLineChars="200"/>
        <w:textAlignment w:val="auto"/>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十二、申诉和纪律</w:t>
      </w:r>
    </w:p>
    <w:p w14:paraId="3E662AF0">
      <w:pPr>
        <w:keepNext w:val="0"/>
        <w:keepLines w:val="0"/>
        <w:pageBreakBefore w:val="0"/>
        <w:kinsoku/>
        <w:wordWrap/>
        <w:autoSpaceDE/>
        <w:autoSpaceDN/>
        <w:bidi w:val="0"/>
        <w:adjustRightInd w:val="0"/>
        <w:snapToGrid w:val="0"/>
        <w:spacing w:line="54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（一）</w:t>
      </w:r>
      <w:r>
        <w:rPr>
          <w:rFonts w:hint="eastAsia" w:ascii="仿宋" w:hAnsi="仿宋" w:eastAsia="仿宋" w:cs="仿宋"/>
          <w:color w:val="auto"/>
          <w:sz w:val="28"/>
          <w:szCs w:val="28"/>
          <w:highlight w:val="none"/>
          <w:lang w:val="en-US" w:eastAsia="zh-CN"/>
        </w:rPr>
        <w:t>按照世界泳联最新竞赛规则有关规定执行。</w:t>
      </w:r>
    </w:p>
    <w:p w14:paraId="2DEF57CD">
      <w:pPr>
        <w:keepNext w:val="0"/>
        <w:keepLines w:val="0"/>
        <w:pageBreakBefore w:val="0"/>
        <w:kinsoku/>
        <w:wordWrap/>
        <w:autoSpaceDE/>
        <w:autoSpaceDN/>
        <w:bidi w:val="0"/>
        <w:adjustRightInd w:val="0"/>
        <w:snapToGrid w:val="0"/>
        <w:spacing w:line="54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（二）对运动员、教练员、裁判员和体育赛事组织者违反本届运动会赛风赛纪情形，一经查实，按照《上海市体育赛事活动赛风赛纪管理实施细则》及市运会组委会</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世界泳联最新竞赛规则有关规定处罚。对发生任何兴奋剂违规事件的，按照国家体育总局、上海市体育局反兴奋剂相关规定进行处罚。</w:t>
      </w:r>
    </w:p>
    <w:p w14:paraId="59A5F2E5">
      <w:pPr>
        <w:keepNext w:val="0"/>
        <w:keepLines w:val="0"/>
        <w:pageBreakBefore w:val="0"/>
        <w:widowControl w:val="0"/>
        <w:kinsoku/>
        <w:wordWrap/>
        <w:autoSpaceDE/>
        <w:autoSpaceDN/>
        <w:bidi w:val="0"/>
        <w:adjustRightInd w:val="0"/>
        <w:snapToGrid w:val="0"/>
        <w:spacing w:line="540" w:lineRule="exact"/>
        <w:ind w:firstLine="562" w:firstLineChars="200"/>
        <w:textAlignment w:val="auto"/>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十三、技术官员</w:t>
      </w:r>
    </w:p>
    <w:p w14:paraId="4E643327">
      <w:pPr>
        <w:keepNext w:val="0"/>
        <w:keepLines w:val="0"/>
        <w:pageBreakBefore w:val="0"/>
        <w:widowControl w:val="0"/>
        <w:kinsoku/>
        <w:wordWrap/>
        <w:autoSpaceDE/>
        <w:autoSpaceDN/>
        <w:bidi w:val="0"/>
        <w:adjustRightInd w:val="0"/>
        <w:snapToGrid w:val="0"/>
        <w:spacing w:line="54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按照本届运动会竞赛规程总则的有关规定执行。</w:t>
      </w:r>
    </w:p>
    <w:p w14:paraId="750B3196">
      <w:pPr>
        <w:keepNext w:val="0"/>
        <w:keepLines w:val="0"/>
        <w:pageBreakBefore w:val="0"/>
        <w:widowControl w:val="0"/>
        <w:kinsoku/>
        <w:wordWrap/>
        <w:autoSpaceDE/>
        <w:autoSpaceDN/>
        <w:bidi w:val="0"/>
        <w:adjustRightInd w:val="0"/>
        <w:snapToGrid w:val="0"/>
        <w:spacing w:line="540" w:lineRule="exact"/>
        <w:ind w:firstLine="562" w:firstLineChars="200"/>
        <w:textAlignment w:val="auto"/>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十四、运动员技术等级授予</w:t>
      </w:r>
    </w:p>
    <w:p w14:paraId="497A4034">
      <w:pPr>
        <w:keepNext w:val="0"/>
        <w:keepLines w:val="0"/>
        <w:pageBreakBefore w:val="0"/>
        <w:widowControl w:val="0"/>
        <w:kinsoku/>
        <w:wordWrap/>
        <w:autoSpaceDE/>
        <w:autoSpaceDN/>
        <w:bidi w:val="0"/>
        <w:adjustRightInd w:val="0"/>
        <w:snapToGrid w:val="0"/>
        <w:spacing w:line="540" w:lineRule="exact"/>
        <w:ind w:firstLine="560" w:firstLineChars="200"/>
        <w:textAlignment w:val="auto"/>
        <w:rPr>
          <w:rFonts w:ascii="仿宋" w:hAnsi="仿宋" w:eastAsia="仿宋" w:cs="仿宋"/>
          <w:b/>
          <w:color w:val="auto"/>
          <w:sz w:val="28"/>
          <w:szCs w:val="28"/>
          <w:highlight w:val="none"/>
        </w:rPr>
      </w:pPr>
      <w:r>
        <w:rPr>
          <w:rFonts w:hint="eastAsia" w:ascii="仿宋" w:hAnsi="仿宋" w:eastAsia="仿宋" w:cs="仿宋"/>
          <w:bCs/>
          <w:color w:val="auto"/>
          <w:sz w:val="28"/>
          <w:szCs w:val="28"/>
          <w:highlight w:val="none"/>
        </w:rPr>
        <w:t>本次比赛为2026年国家体育总局公布的可授予运动员技术等级称号赛事，本次比赛</w:t>
      </w:r>
      <w:r>
        <w:rPr>
          <w:rFonts w:hint="eastAsia" w:ascii="仿宋" w:hAnsi="仿宋" w:eastAsia="仿宋" w:cs="仿宋"/>
          <w:bCs/>
          <w:color w:val="auto"/>
          <w:sz w:val="28"/>
          <w:szCs w:val="28"/>
          <w:highlight w:val="none"/>
          <w:lang w:val="en-US" w:eastAsia="zh-CN"/>
        </w:rPr>
        <w:t>A</w:t>
      </w:r>
      <w:r>
        <w:rPr>
          <w:rFonts w:hint="eastAsia" w:ascii="仿宋" w:hAnsi="仿宋" w:eastAsia="仿宋" w:cs="仿宋"/>
          <w:bCs/>
          <w:color w:val="auto"/>
          <w:sz w:val="28"/>
          <w:szCs w:val="28"/>
          <w:highlight w:val="none"/>
        </w:rPr>
        <w:t>组（</w:t>
      </w:r>
      <w:r>
        <w:rPr>
          <w:rFonts w:hint="eastAsia" w:ascii="仿宋" w:hAnsi="仿宋" w:eastAsia="仿宋" w:cs="仿宋"/>
          <w:bCs/>
          <w:color w:val="auto"/>
          <w:sz w:val="28"/>
          <w:szCs w:val="28"/>
          <w:highlight w:val="none"/>
          <w:lang w:val="en-US" w:eastAsia="zh-CN"/>
        </w:rPr>
        <w:t>女子单人自由自选、女子双人自由自选、混合双人自由自选、集体自由自选</w:t>
      </w:r>
      <w:r>
        <w:rPr>
          <w:rFonts w:hint="eastAsia" w:ascii="仿宋" w:hAnsi="仿宋" w:eastAsia="仿宋" w:cs="仿宋"/>
          <w:bCs/>
          <w:color w:val="auto"/>
          <w:sz w:val="28"/>
          <w:szCs w:val="28"/>
          <w:highlight w:val="none"/>
        </w:rPr>
        <w:t>）为可授予运动员技术等级的组别（及小项），具体标准按国家体育总局最新发布的《</w:t>
      </w:r>
      <w:r>
        <w:rPr>
          <w:rFonts w:hint="eastAsia" w:ascii="仿宋" w:hAnsi="仿宋" w:eastAsia="仿宋" w:cs="仿宋"/>
          <w:bCs/>
          <w:color w:val="auto"/>
          <w:sz w:val="28"/>
          <w:szCs w:val="28"/>
          <w:highlight w:val="none"/>
          <w:lang w:val="en-US" w:eastAsia="zh-CN"/>
        </w:rPr>
        <w:t>花样游泳</w:t>
      </w:r>
      <w:r>
        <w:rPr>
          <w:rFonts w:hint="eastAsia" w:ascii="仿宋" w:hAnsi="仿宋" w:eastAsia="仿宋" w:cs="仿宋"/>
          <w:bCs/>
          <w:color w:val="auto"/>
          <w:sz w:val="28"/>
          <w:szCs w:val="28"/>
          <w:highlight w:val="none"/>
        </w:rPr>
        <w:t>项目运动员技术等级标准》执行。</w:t>
      </w:r>
    </w:p>
    <w:p w14:paraId="71FDD657">
      <w:pPr>
        <w:keepNext w:val="0"/>
        <w:keepLines w:val="0"/>
        <w:pageBreakBefore w:val="0"/>
        <w:widowControl w:val="0"/>
        <w:kinsoku/>
        <w:wordWrap/>
        <w:autoSpaceDE/>
        <w:autoSpaceDN/>
        <w:bidi w:val="0"/>
        <w:adjustRightInd w:val="0"/>
        <w:snapToGrid w:val="0"/>
        <w:spacing w:line="540" w:lineRule="exact"/>
        <w:ind w:firstLine="562" w:firstLineChars="200"/>
        <w:textAlignment w:val="auto"/>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十五、其他</w:t>
      </w:r>
    </w:p>
    <w:p w14:paraId="3214C470">
      <w:pPr>
        <w:keepNext w:val="0"/>
        <w:keepLines w:val="0"/>
        <w:pageBreakBefore w:val="0"/>
        <w:widowControl w:val="0"/>
        <w:kinsoku/>
        <w:wordWrap/>
        <w:autoSpaceDE/>
        <w:autoSpaceDN/>
        <w:bidi w:val="0"/>
        <w:adjustRightInd w:val="0"/>
        <w:snapToGrid w:val="0"/>
        <w:spacing w:line="54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（一）如本规程内容与本届运动会竞赛规程总则或上海市体育局相关规定发生冲突，则以本届运动会总则或上海市体育局规定为准。</w:t>
      </w:r>
    </w:p>
    <w:p w14:paraId="61C0C7D7">
      <w:pPr>
        <w:keepNext w:val="0"/>
        <w:keepLines w:val="0"/>
        <w:pageBreakBefore w:val="0"/>
        <w:widowControl w:val="0"/>
        <w:kinsoku/>
        <w:wordWrap/>
        <w:autoSpaceDE/>
        <w:autoSpaceDN/>
        <w:bidi w:val="0"/>
        <w:adjustRightInd w:val="0"/>
        <w:snapToGrid w:val="0"/>
        <w:spacing w:line="540" w:lineRule="exact"/>
        <w:ind w:firstLine="560" w:firstLineChars="200"/>
        <w:textAlignment w:val="auto"/>
        <w:rPr>
          <w:rFonts w:ascii="仿宋" w:hAnsi="仿宋" w:eastAsia="仿宋" w:cs="仿宋"/>
          <w:color w:val="auto"/>
          <w:sz w:val="28"/>
          <w:szCs w:val="28"/>
          <w:highlight w:val="none"/>
        </w:rPr>
      </w:pPr>
      <w:bookmarkStart w:id="1" w:name="_Hlk162361054"/>
      <w:r>
        <w:rPr>
          <w:rFonts w:hint="eastAsia" w:ascii="仿宋" w:hAnsi="仿宋" w:eastAsia="仿宋" w:cs="仿宋"/>
          <w:color w:val="auto"/>
          <w:sz w:val="28"/>
          <w:szCs w:val="28"/>
          <w:highlight w:val="none"/>
        </w:rPr>
        <w:t>（二）参赛单位运动员、教练员应知晓体育竞赛的相关风险，确保自己身体状况符合参赛要求，自行承担非承办单位故意或重大过失导致的伤害。</w:t>
      </w:r>
      <w:bookmarkEnd w:id="1"/>
    </w:p>
    <w:p w14:paraId="386E954D">
      <w:pPr>
        <w:keepNext w:val="0"/>
        <w:keepLines w:val="0"/>
        <w:pageBreakBefore w:val="0"/>
        <w:widowControl w:val="0"/>
        <w:kinsoku/>
        <w:wordWrap/>
        <w:autoSpaceDE/>
        <w:autoSpaceDN/>
        <w:bidi w:val="0"/>
        <w:adjustRightInd w:val="0"/>
        <w:snapToGrid w:val="0"/>
        <w:spacing w:line="540" w:lineRule="exact"/>
        <w:ind w:firstLine="560" w:firstLineChars="200"/>
        <w:textAlignment w:val="auto"/>
        <w:rPr>
          <w:color w:val="auto"/>
          <w:highlight w:val="none"/>
        </w:rPr>
      </w:pPr>
      <w:r>
        <w:rPr>
          <w:rFonts w:hint="eastAsia" w:ascii="仿宋" w:hAnsi="仿宋" w:eastAsia="仿宋" w:cs="仿宋"/>
          <w:color w:val="auto"/>
          <w:sz w:val="28"/>
          <w:szCs w:val="28"/>
          <w:highlight w:val="none"/>
        </w:rPr>
        <w:t>（三）未尽事宜，另行通知。</w:t>
      </w:r>
    </w:p>
    <w:sectPr>
      <w:footerReference r:id="rId3" w:type="default"/>
      <w:footnotePr>
        <w:numRestart w:val="eachPage"/>
      </w:footnotePr>
      <w:type w:val="continuous"/>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ambria Math">
    <w:panose1 w:val="02040503050406030204"/>
    <w:charset w:val="00"/>
    <w:family w:val="auto"/>
    <w:pitch w:val="default"/>
    <w:sig w:usb0="E00002FF" w:usb1="420024FF" w:usb2="00000000" w:usb3="00000000" w:csb0="2000019F" w:csb1="00000000"/>
  </w:font>
  <w:font w:name="DejaVu Math TeX Gyre">
    <w:altName w:val="Cambria Math"/>
    <w:panose1 w:val="02000503000000000000"/>
    <w:charset w:val="00"/>
    <w:family w:val="auto"/>
    <w:pitch w:val="default"/>
    <w:sig w:usb0="00000000" w:usb1="00000000"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4C32C6">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610EF9"/>
    <w:multiLevelType w:val="singleLevel"/>
    <w:tmpl w:val="08610EF9"/>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Page"/>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0ZmMxZDEyMTZlZjI0OWQyZjdkMGM0MmMxMmVmY2IifQ=="/>
  </w:docVars>
  <w:rsids>
    <w:rsidRoot w:val="0044278A"/>
    <w:rsid w:val="002A225D"/>
    <w:rsid w:val="0038156C"/>
    <w:rsid w:val="00431B88"/>
    <w:rsid w:val="0044278A"/>
    <w:rsid w:val="004E07DD"/>
    <w:rsid w:val="00607D0B"/>
    <w:rsid w:val="00A73759"/>
    <w:rsid w:val="00B01952"/>
    <w:rsid w:val="00F16E78"/>
    <w:rsid w:val="00F52FCA"/>
    <w:rsid w:val="00F93AA1"/>
    <w:rsid w:val="041F2D56"/>
    <w:rsid w:val="072D607D"/>
    <w:rsid w:val="0DD36E10"/>
    <w:rsid w:val="0EA62E13"/>
    <w:rsid w:val="122D52DF"/>
    <w:rsid w:val="15DF7B3C"/>
    <w:rsid w:val="16715B32"/>
    <w:rsid w:val="16875426"/>
    <w:rsid w:val="1DBD6C4C"/>
    <w:rsid w:val="1E0760A4"/>
    <w:rsid w:val="1F21779A"/>
    <w:rsid w:val="1FEFC43F"/>
    <w:rsid w:val="20434B57"/>
    <w:rsid w:val="227A614C"/>
    <w:rsid w:val="26370893"/>
    <w:rsid w:val="2AC97C2B"/>
    <w:rsid w:val="2DA717B3"/>
    <w:rsid w:val="2F29984A"/>
    <w:rsid w:val="30515682"/>
    <w:rsid w:val="37FFCD53"/>
    <w:rsid w:val="38F86633"/>
    <w:rsid w:val="399530D6"/>
    <w:rsid w:val="3A3F654C"/>
    <w:rsid w:val="3D5056D9"/>
    <w:rsid w:val="3E2D5C0A"/>
    <w:rsid w:val="3EFB5CA4"/>
    <w:rsid w:val="3FDE5665"/>
    <w:rsid w:val="47770B7A"/>
    <w:rsid w:val="4ACFBA0A"/>
    <w:rsid w:val="4BD340F1"/>
    <w:rsid w:val="4C3677AE"/>
    <w:rsid w:val="4FA94B84"/>
    <w:rsid w:val="5168434D"/>
    <w:rsid w:val="51E90FEC"/>
    <w:rsid w:val="57407733"/>
    <w:rsid w:val="598541D6"/>
    <w:rsid w:val="5D7A14C5"/>
    <w:rsid w:val="614E0C9F"/>
    <w:rsid w:val="63E70990"/>
    <w:rsid w:val="64281188"/>
    <w:rsid w:val="65473B79"/>
    <w:rsid w:val="6562211A"/>
    <w:rsid w:val="66D25BD2"/>
    <w:rsid w:val="67356B56"/>
    <w:rsid w:val="6AE71EEF"/>
    <w:rsid w:val="6CB45F0F"/>
    <w:rsid w:val="6DCB1622"/>
    <w:rsid w:val="6DED5F93"/>
    <w:rsid w:val="6FED5B27"/>
    <w:rsid w:val="70742FD0"/>
    <w:rsid w:val="709D3A6E"/>
    <w:rsid w:val="72D141F3"/>
    <w:rsid w:val="73E8538B"/>
    <w:rsid w:val="73FFF0ED"/>
    <w:rsid w:val="741C1206"/>
    <w:rsid w:val="76B1A10B"/>
    <w:rsid w:val="790079D4"/>
    <w:rsid w:val="79EF6E8B"/>
    <w:rsid w:val="7A0C5ABB"/>
    <w:rsid w:val="7AD39BFE"/>
    <w:rsid w:val="7E9FC098"/>
    <w:rsid w:val="7EBF6361"/>
    <w:rsid w:val="7EFFFB54"/>
    <w:rsid w:val="BCAF665E"/>
    <w:rsid w:val="BE36F975"/>
    <w:rsid w:val="BF8FB032"/>
    <w:rsid w:val="DEA55091"/>
    <w:rsid w:val="E2B35184"/>
    <w:rsid w:val="F1DF5B7B"/>
    <w:rsid w:val="F9FE1243"/>
    <w:rsid w:val="FB491B05"/>
    <w:rsid w:val="FD733A08"/>
    <w:rsid w:val="FFF63F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99"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qFormat="1" w:unhideWhenUsed="0" w:uiPriority="99" w:semiHidden="0" w:name="endnote reference"/>
    <w:lsdException w:qFormat="1" w:unhideWhenUsed="0" w:uiPriority="99"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caption"/>
    <w:basedOn w:val="1"/>
    <w:next w:val="1"/>
    <w:qFormat/>
    <w:uiPriority w:val="35"/>
    <w:rPr>
      <w:rFonts w:ascii="Cambria" w:hAnsi="Cambria" w:eastAsia="黑体" w:cs="宋体"/>
      <w:sz w:val="20"/>
      <w:szCs w:val="20"/>
    </w:rPr>
  </w:style>
  <w:style w:type="paragraph" w:styleId="3">
    <w:name w:val="annotation text"/>
    <w:basedOn w:val="1"/>
    <w:link w:val="21"/>
    <w:qFormat/>
    <w:uiPriority w:val="99"/>
    <w:pPr>
      <w:jc w:val="left"/>
    </w:pPr>
  </w:style>
  <w:style w:type="paragraph" w:styleId="4">
    <w:name w:val="endnote text"/>
    <w:basedOn w:val="1"/>
    <w:link w:val="24"/>
    <w:qFormat/>
    <w:uiPriority w:val="99"/>
    <w:pPr>
      <w:snapToGrid w:val="0"/>
      <w:jc w:val="left"/>
    </w:pPr>
  </w:style>
  <w:style w:type="paragraph" w:styleId="5">
    <w:name w:val="Balloon Text"/>
    <w:basedOn w:val="1"/>
    <w:link w:val="20"/>
    <w:qFormat/>
    <w:uiPriority w:val="99"/>
    <w:rPr>
      <w:sz w:val="18"/>
      <w:szCs w:val="18"/>
    </w:rPr>
  </w:style>
  <w:style w:type="paragraph" w:styleId="6">
    <w:name w:val="footer"/>
    <w:basedOn w:val="1"/>
    <w:link w:val="18"/>
    <w:qFormat/>
    <w:uiPriority w:val="99"/>
    <w:pPr>
      <w:tabs>
        <w:tab w:val="center" w:pos="4153"/>
        <w:tab w:val="right" w:pos="8306"/>
      </w:tabs>
      <w:snapToGrid w:val="0"/>
      <w:jc w:val="left"/>
    </w:pPr>
    <w:rPr>
      <w:sz w:val="18"/>
      <w:szCs w:val="18"/>
    </w:rPr>
  </w:style>
  <w:style w:type="paragraph" w:styleId="7">
    <w:name w:val="header"/>
    <w:basedOn w:val="1"/>
    <w:link w:val="17"/>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link w:val="23"/>
    <w:qFormat/>
    <w:uiPriority w:val="99"/>
    <w:pPr>
      <w:snapToGrid w:val="0"/>
      <w:jc w:val="left"/>
    </w:pPr>
    <w:rPr>
      <w:sz w:val="18"/>
      <w:szCs w:val="18"/>
    </w:rPr>
  </w:style>
  <w:style w:type="paragraph" w:styleId="9">
    <w:name w:val="annotation subject"/>
    <w:basedOn w:val="3"/>
    <w:next w:val="3"/>
    <w:link w:val="22"/>
    <w:qFormat/>
    <w:uiPriority w:val="99"/>
    <w:rPr>
      <w:b/>
      <w:bCs/>
    </w:rPr>
  </w:style>
  <w:style w:type="table" w:styleId="11">
    <w:name w:val="Table Grid"/>
    <w:basedOn w:val="1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endnote reference"/>
    <w:basedOn w:val="12"/>
    <w:qFormat/>
    <w:uiPriority w:val="99"/>
    <w:rPr>
      <w:vertAlign w:val="superscript"/>
    </w:rPr>
  </w:style>
  <w:style w:type="character" w:styleId="14">
    <w:name w:val="Hyperlink"/>
    <w:basedOn w:val="12"/>
    <w:qFormat/>
    <w:uiPriority w:val="99"/>
    <w:rPr>
      <w:color w:val="0000FF"/>
      <w:u w:val="single"/>
    </w:rPr>
  </w:style>
  <w:style w:type="character" w:styleId="15">
    <w:name w:val="annotation reference"/>
    <w:basedOn w:val="12"/>
    <w:qFormat/>
    <w:uiPriority w:val="99"/>
    <w:rPr>
      <w:sz w:val="21"/>
      <w:szCs w:val="21"/>
    </w:rPr>
  </w:style>
  <w:style w:type="character" w:styleId="16">
    <w:name w:val="footnote reference"/>
    <w:basedOn w:val="12"/>
    <w:qFormat/>
    <w:uiPriority w:val="99"/>
    <w:rPr>
      <w:vertAlign w:val="superscript"/>
    </w:rPr>
  </w:style>
  <w:style w:type="character" w:customStyle="1" w:styleId="17">
    <w:name w:val="页眉 字符"/>
    <w:basedOn w:val="12"/>
    <w:link w:val="7"/>
    <w:qFormat/>
    <w:uiPriority w:val="99"/>
    <w:rPr>
      <w:rFonts w:ascii="Calibri" w:hAnsi="Calibri" w:eastAsia="宋体" w:cs="Times New Roman"/>
      <w:sz w:val="18"/>
      <w:szCs w:val="18"/>
    </w:rPr>
  </w:style>
  <w:style w:type="character" w:customStyle="1" w:styleId="18">
    <w:name w:val="页脚 字符"/>
    <w:basedOn w:val="12"/>
    <w:link w:val="6"/>
    <w:qFormat/>
    <w:uiPriority w:val="99"/>
    <w:rPr>
      <w:rFonts w:ascii="Calibri" w:hAnsi="Calibri" w:eastAsia="宋体" w:cs="Times New Roman"/>
      <w:sz w:val="18"/>
      <w:szCs w:val="18"/>
    </w:rPr>
  </w:style>
  <w:style w:type="paragraph" w:styleId="19">
    <w:name w:val="List Paragraph"/>
    <w:basedOn w:val="1"/>
    <w:qFormat/>
    <w:uiPriority w:val="34"/>
    <w:pPr>
      <w:ind w:firstLine="420" w:firstLineChars="200"/>
    </w:pPr>
  </w:style>
  <w:style w:type="character" w:customStyle="1" w:styleId="20">
    <w:name w:val="批注框文本 字符"/>
    <w:basedOn w:val="12"/>
    <w:link w:val="5"/>
    <w:qFormat/>
    <w:uiPriority w:val="99"/>
    <w:rPr>
      <w:rFonts w:ascii="Calibri" w:hAnsi="Calibri" w:eastAsia="宋体" w:cs="Times New Roman"/>
      <w:kern w:val="2"/>
      <w:sz w:val="18"/>
      <w:szCs w:val="18"/>
    </w:rPr>
  </w:style>
  <w:style w:type="character" w:customStyle="1" w:styleId="21">
    <w:name w:val="批注文字 字符"/>
    <w:basedOn w:val="12"/>
    <w:link w:val="3"/>
    <w:qFormat/>
    <w:uiPriority w:val="99"/>
    <w:rPr>
      <w:rFonts w:ascii="Calibri" w:hAnsi="Calibri" w:eastAsia="宋体" w:cs="Times New Roman"/>
      <w:kern w:val="2"/>
      <w:sz w:val="21"/>
      <w:szCs w:val="24"/>
    </w:rPr>
  </w:style>
  <w:style w:type="character" w:customStyle="1" w:styleId="22">
    <w:name w:val="批注主题 字符"/>
    <w:basedOn w:val="21"/>
    <w:link w:val="9"/>
    <w:qFormat/>
    <w:uiPriority w:val="0"/>
    <w:rPr>
      <w:rFonts w:ascii="Calibri" w:hAnsi="Calibri" w:eastAsia="宋体" w:cs="Times New Roman"/>
      <w:kern w:val="2"/>
      <w:sz w:val="21"/>
      <w:szCs w:val="24"/>
    </w:rPr>
  </w:style>
  <w:style w:type="character" w:customStyle="1" w:styleId="23">
    <w:name w:val="脚注文本 字符"/>
    <w:basedOn w:val="12"/>
    <w:link w:val="8"/>
    <w:qFormat/>
    <w:uiPriority w:val="99"/>
    <w:rPr>
      <w:rFonts w:ascii="Calibri" w:hAnsi="Calibri" w:eastAsia="宋体" w:cs="Times New Roman"/>
      <w:kern w:val="2"/>
      <w:sz w:val="18"/>
      <w:szCs w:val="18"/>
    </w:rPr>
  </w:style>
  <w:style w:type="character" w:customStyle="1" w:styleId="24">
    <w:name w:val="尾注文本 字符"/>
    <w:basedOn w:val="12"/>
    <w:link w:val="4"/>
    <w:qFormat/>
    <w:uiPriority w:val="99"/>
    <w:rPr>
      <w:rFonts w:ascii="Calibri" w:hAnsi="Calibri" w:eastAsia="宋体" w:cs="Times New Roman"/>
      <w:kern w:val="2"/>
      <w:sz w:val="21"/>
      <w:szCs w:val="24"/>
    </w:rPr>
  </w:style>
  <w:style w:type="paragraph" w:customStyle="1" w:styleId="25">
    <w:name w:val="Table Text"/>
    <w:basedOn w:val="1"/>
    <w:semiHidden/>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actReview xmlns="http://schemas.wps.cn/vas-ai-hub/contract-review">
  <reviewItems>
    <reviewItem>
      <errorID>7289559d-0dfe-4740-8ca2-31de020ac6ee</errorID>
      <errorWord>(</errorWord>
      <group>L1_Format</group>
      <groupName>格式问题</groupName>
      <ability>L2_HalfPunc</ability>
      <abilityName>全半角检查</abilityName>
      <candidateList>
        <item>（</item>
      </candidateList>
      <explain>文本全半角错误。</explain>
      <paraID>2D1CFD2D</paraID>
      <start>6</start>
      <end>7</end>
      <status>unmodified</status>
      <modifiedWord/>
      <trackRevisions>false</trackRevisions>
    </reviewItem>
    <reviewItem>
      <errorID>7564726c-8a88-46fd-af50-caf8070306a5</errorID>
      <errorWord>)</errorWord>
      <group>L1_Format</group>
      <groupName>格式问题</groupName>
      <ability>L2_HalfPunc</ability>
      <abilityName>全半角检查</abilityName>
      <candidateList>
        <item>）</item>
      </candidateList>
      <explain>文本全半角错误。</explain>
      <paraID>2D1CFD2D</paraID>
      <start>11</start>
      <end>12</end>
      <status>unmodified</status>
      <modifiedWord/>
      <trackRevisions>false</trackRevisions>
    </reviewItem>
    <reviewItem>
      <errorID>a93905b0-75f3-44e3-9dab-fcb593d0a656</errorID>
      <errorWord>(</errorWord>
      <group>L1_Format</group>
      <groupName>格式问题</groupName>
      <ability>L2_HalfPunc</ability>
      <abilityName>全半角检查</abilityName>
      <candidateList>
        <item>（</item>
      </candidateList>
      <explain>文本全半角错误。</explain>
      <paraID> D779A79</paraID>
      <start>16</start>
      <end>17</end>
      <status>unmodified</status>
      <modifiedWord/>
      <trackRevisions>false</trackRevisions>
    </reviewItem>
    <reviewItem>
      <errorID>9190d1fa-682b-41e9-8948-12d0c2d6750b</errorID>
      <errorWord>)</errorWord>
      <group>L1_Format</group>
      <groupName>格式问题</groupName>
      <ability>L2_HalfPunc</ability>
      <abilityName>全半角检查</abilityName>
      <candidateList>
        <item>）</item>
      </candidateList>
      <explain>文本全半角错误。</explain>
      <paraID> D779A79</paraID>
      <start>22</start>
      <end>23</end>
      <status>unmodified</status>
      <modifiedWord/>
      <trackRevisions>false</trackRevisions>
    </reviewItem>
    <reviewItem>
      <errorID>99ddfa85-af39-4d0f-9b1e-7cf9f385a50e</errorID>
      <errorWord>)</errorWord>
      <group>L1_Format</group>
      <groupName>格式问题</groupName>
      <ability>L2_HalfPunc</ability>
      <abilityName>全半角检查</abilityName>
      <candidateList>
        <item>）</item>
      </candidateList>
      <explain>文本全半角错误。</explain>
      <paraID>6ECD71AF</paraID>
      <start>6</start>
      <end>7</end>
      <status>unmodified</status>
      <modifiedWord/>
      <trackRevisions>false</trackRevisions>
    </reviewItem>
  </reviewItems>
  <config/>
</contractReview>
</file>

<file path=customXml/item2.xml><?xml version="1.0" encoding="utf-8"?>
<b:Sources xmlns:b="http://schemas.openxmlformats.org/officeDocument/2006/bibliography" xmlns="http://schemas.openxmlformats.org/officeDocument/2006/bibliography" SelectedStyle="\APASixthEditionOfficeOnline.xsl" Version="6" StyleName="APA">
  <b:Source>
    <b:Tag>通过公</b:Tag>
    <b:SourceType>Book</b:SourceType>
    <b:Guid>{82C0E58A-A785-48EF-9EC2-E60ACD13410E}</b:Guid>
    <b:Author>
      <b:Author>
        <b:NameList>
          <b:Person>
            <b:Last>通过公开申办，受主办方直接委托或管辖，直接参与赛事执行</b:Last>
          </b:Person>
        </b:NameList>
      </b:Author>
    </b:Author>
    <b:RefOrder>2</b:RefOrder>
  </b:Source>
  <b:Source>
    <b:Tag>通过公1</b:Tag>
    <b:SourceType>Book</b:SourceType>
    <b:Guid>{6737C864-A0B9-4D0D-904E-A66A7D59E19E}</b:Guid>
    <b:Author>
      <b:Author>
        <b:NameList>
          <b:Person>
            <b:Last>通过公开申办，受主办方直接委托或管辖，直接参与赛事执行</b:Last>
          </b:Person>
        </b:NameList>
      </b:Author>
    </b:Author>
    <b:RefOrder>1</b:RefOrder>
  </b:Source>
</b:Sources>
</file>

<file path=customXml/itemProps1.xml><?xml version="1.0" encoding="utf-8"?>
<ds:datastoreItem xmlns:ds="http://schemas.openxmlformats.org/officeDocument/2006/customXml" ds:itemID="{33F61D48-2B8E-4958-8BFA-8A2501A1CF9E}">
  <ds:schemaRefs/>
</ds:datastoreItem>
</file>

<file path=customXml/itemProps2.xml><?xml version="1.0" encoding="utf-8"?>
<ds:datastoreItem xmlns:ds="http://schemas.openxmlformats.org/officeDocument/2006/customXml" ds:itemID="{625654C5-9F47-415F-B547-D9502E78804C}">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10</Pages>
  <Words>1943</Words>
  <Characters>2128</Characters>
  <Lines>24</Lines>
  <Paragraphs>6</Paragraphs>
  <TotalTime>32</TotalTime>
  <ScaleCrop>false</ScaleCrop>
  <LinksUpToDate>false</LinksUpToDate>
  <CharactersWithSpaces>2128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2022-01-26T22:02:00Z</dcterms:created>
  <dc:creator>微软中国</dc:creator>
  <cp:lastModifiedBy>Xiangyou</cp:lastModifiedBy>
  <cp:lastPrinted>2025-12-22T23:37:00Z</cp:lastPrinted>
  <dcterms:modified xsi:type="dcterms:W3CDTF">2026-05-12T02:46:53Z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820CB17AE329FDE03865CA693F93B184_43</vt:lpwstr>
  </property>
  <property fmtid="{D5CDD505-2E9C-101B-9397-08002B2CF9AE}" pid="4" name="KSOTemplateDocerSaveRecord">
    <vt:lpwstr>eyJoZGlkIjoiNjA2NmNjZDM3NzUzZGJhY2I3OTc1NzBkNDI5NDdhNTkiLCJ1c2VySWQiOiIxNDQ2MzUxODYzIn0=</vt:lpwstr>
  </property>
</Properties>
</file>