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C4D6B">
      <w:pPr>
        <w:adjustRightInd w:val="0"/>
        <w:snapToGrid w:val="0"/>
        <w:spacing w:line="540" w:lineRule="exact"/>
        <w:jc w:val="center"/>
        <w:rPr>
          <w:rFonts w:ascii="宋体" w:hAnsi="宋体" w:cs="宋体"/>
          <w:b/>
          <w:bCs/>
          <w:sz w:val="36"/>
          <w:szCs w:val="36"/>
        </w:rPr>
      </w:pPr>
      <w:r>
        <w:rPr>
          <w:rFonts w:hint="eastAsia" w:ascii="宋体" w:hAnsi="宋体" w:cs="宋体"/>
          <w:b/>
          <w:bCs/>
          <w:sz w:val="36"/>
          <w:szCs w:val="36"/>
        </w:rPr>
        <w:t>上海市第十八届运动会棒球比赛（青少年组）</w:t>
      </w:r>
    </w:p>
    <w:p w14:paraId="3E62A443">
      <w:pPr>
        <w:snapToGrid w:val="0"/>
        <w:spacing w:line="540" w:lineRule="exact"/>
        <w:jc w:val="center"/>
        <w:rPr>
          <w:rFonts w:ascii="宋体" w:hAnsi="宋体" w:cs="宋体"/>
          <w:b/>
          <w:bCs/>
          <w:sz w:val="36"/>
          <w:szCs w:val="36"/>
        </w:rPr>
      </w:pPr>
      <w:r>
        <w:rPr>
          <w:rFonts w:hint="eastAsia" w:ascii="宋体" w:hAnsi="宋体" w:cs="宋体"/>
          <w:b/>
          <w:bCs/>
          <w:sz w:val="36"/>
          <w:szCs w:val="36"/>
        </w:rPr>
        <w:t>竞赛规程</w:t>
      </w:r>
    </w:p>
    <w:p w14:paraId="1AD205EE">
      <w:pPr>
        <w:adjustRightInd w:val="0"/>
        <w:snapToGrid w:val="0"/>
        <w:spacing w:line="540" w:lineRule="exact"/>
        <w:ind w:firstLine="562" w:firstLineChars="200"/>
        <w:rPr>
          <w:rFonts w:ascii="仿宋" w:hAnsi="仿宋" w:eastAsia="仿宋" w:cs="仿宋"/>
          <w:b/>
          <w:sz w:val="28"/>
          <w:szCs w:val="28"/>
        </w:rPr>
      </w:pPr>
    </w:p>
    <w:p w14:paraId="25E865EC">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一、主办单位：</w:t>
      </w:r>
      <w:r>
        <w:rPr>
          <w:rFonts w:hint="eastAsia" w:ascii="仿宋" w:hAnsi="仿宋" w:eastAsia="仿宋" w:cs="仿宋"/>
          <w:sz w:val="28"/>
          <w:szCs w:val="28"/>
        </w:rPr>
        <w:t>上海市体育局、上海市教育委员会</w:t>
      </w:r>
    </w:p>
    <w:p w14:paraId="771C0BAF">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二、承办单位：</w:t>
      </w:r>
      <w:r>
        <w:rPr>
          <w:rFonts w:hint="eastAsia" w:ascii="仿宋" w:hAnsi="仿宋" w:eastAsia="仿宋" w:cs="仿宋"/>
          <w:bCs/>
          <w:sz w:val="28"/>
          <w:szCs w:val="28"/>
        </w:rPr>
        <w:t>上海市闵行区体育局</w:t>
      </w:r>
    </w:p>
    <w:p w14:paraId="37623EB1">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bCs/>
          <w:sz w:val="28"/>
          <w:szCs w:val="28"/>
        </w:rPr>
        <w:t>上海市静安区体育局</w:t>
      </w:r>
    </w:p>
    <w:p w14:paraId="441EC3C3">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bCs/>
          <w:sz w:val="28"/>
          <w:szCs w:val="28"/>
        </w:rPr>
        <w:t>上海市嘉定区体育局</w:t>
      </w:r>
    </w:p>
    <w:p w14:paraId="19701CB5">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上海市竞技体育训练管理中心</w:t>
      </w:r>
    </w:p>
    <w:p w14:paraId="4962DB5E">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手曲棒垒球运动中心</w:t>
      </w:r>
    </w:p>
    <w:p w14:paraId="6CAA6F7E">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上海市棒垒球协会</w:t>
      </w:r>
    </w:p>
    <w:p w14:paraId="7C625447">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上海市嘉定区思恺洁棒垒球俱乐部</w:t>
      </w:r>
    </w:p>
    <w:p w14:paraId="77DADFB7">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三、协办单位：</w:t>
      </w:r>
      <w:r>
        <w:rPr>
          <w:rFonts w:hint="eastAsia" w:ascii="仿宋" w:hAnsi="仿宋" w:eastAsia="仿宋" w:cs="仿宋"/>
          <w:sz w:val="28"/>
          <w:szCs w:val="28"/>
        </w:rPr>
        <w:t>场馆、少体校、俱乐部、公司等</w:t>
      </w:r>
    </w:p>
    <w:p w14:paraId="14D7A930">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四、竞赛日期：</w:t>
      </w:r>
      <w:r>
        <w:rPr>
          <w:rFonts w:hint="eastAsia" w:ascii="仿宋" w:hAnsi="仿宋" w:eastAsia="仿宋" w:cs="仿宋"/>
          <w:sz w:val="28"/>
          <w:szCs w:val="28"/>
        </w:rPr>
        <w:t>2026年9-10月</w:t>
      </w:r>
    </w:p>
    <w:p w14:paraId="5A8D3E02">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五、竞赛地点：</w:t>
      </w:r>
      <w:r>
        <w:rPr>
          <w:rFonts w:hint="eastAsia" w:ascii="仿宋" w:hAnsi="仿宋" w:eastAsia="仿宋" w:cs="仿宋"/>
          <w:sz w:val="28"/>
          <w:szCs w:val="28"/>
        </w:rPr>
        <w:t>闵行第四中学（上海市闵行区景谷路9号）</w:t>
      </w:r>
    </w:p>
    <w:p w14:paraId="4153C2A9">
      <w:pPr>
        <w:adjustRightInd w:val="0"/>
        <w:snapToGrid w:val="0"/>
        <w:spacing w:line="540" w:lineRule="exact"/>
        <w:ind w:left="2794" w:leftChars="1197" w:hanging="280" w:hangingChars="100"/>
        <w:rPr>
          <w:rFonts w:ascii="仿宋" w:hAnsi="仿宋" w:eastAsia="仿宋" w:cs="仿宋"/>
          <w:sz w:val="28"/>
          <w:szCs w:val="28"/>
        </w:rPr>
      </w:pPr>
      <w:r>
        <w:rPr>
          <w:rFonts w:hint="eastAsia" w:ascii="仿宋" w:hAnsi="仿宋" w:eastAsia="仿宋" w:cs="仿宋"/>
          <w:sz w:val="28"/>
          <w:szCs w:val="28"/>
        </w:rPr>
        <w:t>火车头体育场（上海市静安区共和新路955号）</w:t>
      </w:r>
    </w:p>
    <w:p w14:paraId="7F7AD7D9">
      <w:pPr>
        <w:adjustRightInd w:val="0"/>
        <w:snapToGrid w:val="0"/>
        <w:spacing w:line="540" w:lineRule="exact"/>
        <w:ind w:left="2794" w:leftChars="1197" w:hanging="280" w:hangingChars="100"/>
        <w:rPr>
          <w:rFonts w:ascii="仿宋" w:hAnsi="仿宋" w:eastAsia="仿宋" w:cs="仿宋"/>
          <w:sz w:val="28"/>
          <w:szCs w:val="28"/>
        </w:rPr>
      </w:pPr>
      <w:r>
        <w:rPr>
          <w:rFonts w:hint="eastAsia" w:ascii="仿宋" w:hAnsi="仿宋" w:eastAsia="仿宋" w:cs="仿宋"/>
          <w:sz w:val="28"/>
          <w:szCs w:val="28"/>
        </w:rPr>
        <w:t>市民体育公园（上海市嘉定区安辰路999号）</w:t>
      </w:r>
    </w:p>
    <w:p w14:paraId="79E3D897">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bCs/>
          <w:sz w:val="28"/>
          <w:szCs w:val="28"/>
        </w:rPr>
        <w:t>六、参赛单位</w:t>
      </w:r>
      <w:r>
        <w:rPr>
          <w:rFonts w:hint="eastAsia" w:ascii="仿宋" w:hAnsi="仿宋" w:eastAsia="仿宋" w:cs="仿宋"/>
          <w:sz w:val="28"/>
          <w:szCs w:val="28"/>
        </w:rPr>
        <w:t>：本市各区</w:t>
      </w:r>
    </w:p>
    <w:p w14:paraId="43835872">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七、年龄组别和小项设置</w:t>
      </w:r>
    </w:p>
    <w:tbl>
      <w:tblPr>
        <w:tblStyle w:val="10"/>
        <w:tblW w:w="731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92"/>
        <w:gridCol w:w="1920"/>
        <w:gridCol w:w="928"/>
        <w:gridCol w:w="1784"/>
        <w:gridCol w:w="1791"/>
      </w:tblGrid>
      <w:tr w14:paraId="07A97F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0" w:hRule="atLeast"/>
          <w:jc w:val="center"/>
        </w:trPr>
        <w:tc>
          <w:tcPr>
            <w:tcW w:w="892" w:type="dxa"/>
            <w:tcBorders>
              <w:top w:val="single" w:color="000000" w:sz="6" w:space="0"/>
              <w:left w:val="single" w:color="000000" w:sz="6" w:space="0"/>
              <w:bottom w:val="nil"/>
              <w:right w:val="single" w:color="000000" w:sz="6" w:space="0"/>
            </w:tcBorders>
            <w:vAlign w:val="center"/>
          </w:tcPr>
          <w:p w14:paraId="276BEA64">
            <w:pPr>
              <w:ind w:left="9"/>
              <w:jc w:val="center"/>
              <w:rPr>
                <w:rFonts w:ascii="仿宋" w:hAnsi="仿宋" w:eastAsia="仿宋" w:cs="仿宋"/>
                <w:szCs w:val="21"/>
              </w:rPr>
            </w:pPr>
            <w:r>
              <w:rPr>
                <w:rFonts w:hint="eastAsia" w:ascii="仿宋" w:hAnsi="仿宋" w:eastAsia="仿宋" w:cs="仿宋"/>
                <w:b/>
                <w:bCs/>
                <w:szCs w:val="21"/>
              </w:rPr>
              <w:t>组别</w:t>
            </w:r>
          </w:p>
        </w:tc>
        <w:tc>
          <w:tcPr>
            <w:tcW w:w="1920" w:type="dxa"/>
            <w:tcBorders>
              <w:top w:val="single" w:color="000000" w:sz="6" w:space="0"/>
              <w:left w:val="single" w:color="000000" w:sz="6" w:space="0"/>
              <w:bottom w:val="nil"/>
              <w:right w:val="single" w:color="000000" w:sz="6" w:space="0"/>
            </w:tcBorders>
            <w:vAlign w:val="center"/>
          </w:tcPr>
          <w:p w14:paraId="676A87EB">
            <w:pPr>
              <w:ind w:left="23"/>
              <w:jc w:val="center"/>
              <w:rPr>
                <w:rFonts w:ascii="仿宋" w:hAnsi="仿宋" w:eastAsia="仿宋" w:cs="仿宋"/>
                <w:szCs w:val="21"/>
              </w:rPr>
            </w:pPr>
            <w:r>
              <w:rPr>
                <w:rFonts w:hint="eastAsia" w:ascii="仿宋" w:hAnsi="仿宋" w:eastAsia="仿宋" w:cs="仿宋"/>
                <w:b/>
                <w:bCs/>
                <w:szCs w:val="21"/>
              </w:rPr>
              <w:t>年龄段</w:t>
            </w:r>
          </w:p>
        </w:tc>
        <w:tc>
          <w:tcPr>
            <w:tcW w:w="928" w:type="dxa"/>
            <w:tcBorders>
              <w:top w:val="single" w:color="000000" w:sz="6" w:space="0"/>
              <w:left w:val="single" w:color="000000" w:sz="6" w:space="0"/>
              <w:bottom w:val="nil"/>
              <w:right w:val="single" w:color="000000" w:sz="6" w:space="0"/>
            </w:tcBorders>
            <w:vAlign w:val="center"/>
          </w:tcPr>
          <w:p w14:paraId="49115CE1">
            <w:pPr>
              <w:ind w:left="49"/>
              <w:jc w:val="center"/>
              <w:rPr>
                <w:rFonts w:ascii="仿宋" w:hAnsi="仿宋" w:eastAsia="仿宋" w:cs="仿宋"/>
                <w:szCs w:val="21"/>
              </w:rPr>
            </w:pPr>
            <w:r>
              <w:rPr>
                <w:rFonts w:hint="eastAsia" w:ascii="仿宋" w:hAnsi="仿宋" w:eastAsia="仿宋" w:cs="仿宋"/>
                <w:b/>
                <w:bCs/>
                <w:szCs w:val="21"/>
              </w:rPr>
              <w:t>设项数</w:t>
            </w:r>
          </w:p>
        </w:tc>
        <w:tc>
          <w:tcPr>
            <w:tcW w:w="1784" w:type="dxa"/>
            <w:tcBorders>
              <w:top w:val="single" w:color="000000" w:sz="6" w:space="0"/>
              <w:left w:val="single" w:color="000000" w:sz="6" w:space="0"/>
              <w:bottom w:val="single" w:color="000000" w:sz="6" w:space="0"/>
              <w:right w:val="single" w:color="000000" w:sz="6" w:space="0"/>
            </w:tcBorders>
            <w:vAlign w:val="center"/>
          </w:tcPr>
          <w:p w14:paraId="7084AA7E">
            <w:pPr>
              <w:ind w:left="9"/>
              <w:jc w:val="center"/>
              <w:rPr>
                <w:rFonts w:ascii="仿宋" w:hAnsi="仿宋" w:eastAsia="仿宋" w:cs="仿宋"/>
                <w:b/>
                <w:bCs/>
                <w:szCs w:val="21"/>
              </w:rPr>
            </w:pPr>
            <w:r>
              <w:rPr>
                <w:rFonts w:hint="eastAsia" w:ascii="仿宋" w:hAnsi="仿宋" w:eastAsia="仿宋" w:cs="仿宋"/>
                <w:b/>
                <w:bCs/>
                <w:szCs w:val="21"/>
              </w:rPr>
              <w:t>男子</w:t>
            </w:r>
          </w:p>
        </w:tc>
        <w:tc>
          <w:tcPr>
            <w:tcW w:w="1791" w:type="dxa"/>
            <w:tcBorders>
              <w:top w:val="single" w:color="000000" w:sz="6" w:space="0"/>
              <w:left w:val="single" w:color="000000" w:sz="6" w:space="0"/>
              <w:bottom w:val="single" w:color="000000" w:sz="6" w:space="0"/>
              <w:right w:val="single" w:color="000000" w:sz="6" w:space="0"/>
            </w:tcBorders>
            <w:vAlign w:val="center"/>
          </w:tcPr>
          <w:p w14:paraId="2A7A417B">
            <w:pPr>
              <w:ind w:left="9"/>
              <w:jc w:val="center"/>
              <w:rPr>
                <w:rFonts w:ascii="仿宋" w:hAnsi="仿宋" w:eastAsia="仿宋" w:cs="仿宋"/>
                <w:b/>
                <w:bCs/>
                <w:szCs w:val="21"/>
              </w:rPr>
            </w:pPr>
            <w:r>
              <w:rPr>
                <w:rFonts w:hint="eastAsia" w:ascii="仿宋" w:hAnsi="仿宋" w:eastAsia="仿宋" w:cs="仿宋"/>
                <w:b/>
                <w:bCs/>
                <w:szCs w:val="21"/>
              </w:rPr>
              <w:t>女子</w:t>
            </w:r>
          </w:p>
        </w:tc>
      </w:tr>
      <w:tr w14:paraId="3A60E5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892" w:type="dxa"/>
            <w:tcBorders>
              <w:top w:val="single" w:color="000000" w:sz="6" w:space="0"/>
              <w:left w:val="single" w:color="000000" w:sz="6" w:space="0"/>
              <w:bottom w:val="nil"/>
              <w:right w:val="single" w:color="000000" w:sz="6" w:space="0"/>
            </w:tcBorders>
            <w:vAlign w:val="center"/>
          </w:tcPr>
          <w:p w14:paraId="4FE8B6BF">
            <w:pPr>
              <w:ind w:left="27" w:leftChars="13"/>
              <w:jc w:val="center"/>
              <w:rPr>
                <w:rFonts w:ascii="仿宋" w:hAnsi="仿宋" w:eastAsia="仿宋" w:cs="仿宋"/>
                <w:szCs w:val="21"/>
              </w:rPr>
            </w:pPr>
            <w:r>
              <w:rPr>
                <w:rFonts w:hint="eastAsia" w:ascii="仿宋" w:hAnsi="仿宋" w:eastAsia="仿宋" w:cs="仿宋"/>
                <w:szCs w:val="21"/>
              </w:rPr>
              <w:t>A</w:t>
            </w:r>
          </w:p>
        </w:tc>
        <w:tc>
          <w:tcPr>
            <w:tcW w:w="1920" w:type="dxa"/>
            <w:tcBorders>
              <w:top w:val="single" w:color="000000" w:sz="6" w:space="0"/>
              <w:left w:val="single" w:color="000000" w:sz="6" w:space="0"/>
              <w:bottom w:val="nil"/>
              <w:right w:val="single" w:color="000000" w:sz="6" w:space="0"/>
            </w:tcBorders>
            <w:vAlign w:val="center"/>
          </w:tcPr>
          <w:p w14:paraId="2F2FF1D3">
            <w:pPr>
              <w:ind w:left="21" w:leftChars="10"/>
              <w:jc w:val="center"/>
              <w:rPr>
                <w:rFonts w:ascii="仿宋" w:hAnsi="仿宋" w:eastAsia="仿宋" w:cs="仿宋"/>
                <w:szCs w:val="21"/>
              </w:rPr>
            </w:pPr>
            <w:r>
              <w:rPr>
                <w:rFonts w:hint="eastAsia" w:ascii="仿宋" w:hAnsi="仿宋" w:eastAsia="仿宋" w:cs="仿宋"/>
                <w:szCs w:val="21"/>
              </w:rPr>
              <w:t>08.9.1-10.12.31</w:t>
            </w:r>
          </w:p>
        </w:tc>
        <w:tc>
          <w:tcPr>
            <w:tcW w:w="928" w:type="dxa"/>
            <w:tcBorders>
              <w:top w:val="single" w:color="000000" w:sz="6" w:space="0"/>
              <w:left w:val="single" w:color="000000" w:sz="6" w:space="0"/>
              <w:bottom w:val="nil"/>
              <w:right w:val="single" w:color="000000" w:sz="6" w:space="0"/>
            </w:tcBorders>
            <w:vAlign w:val="center"/>
          </w:tcPr>
          <w:p w14:paraId="781EF895">
            <w:pPr>
              <w:jc w:val="center"/>
              <w:rPr>
                <w:rFonts w:ascii="仿宋" w:hAnsi="仿宋" w:eastAsia="仿宋" w:cs="仿宋"/>
                <w:szCs w:val="21"/>
              </w:rPr>
            </w:pPr>
            <w:r>
              <w:rPr>
                <w:rFonts w:hint="eastAsia" w:ascii="仿宋" w:hAnsi="仿宋" w:eastAsia="仿宋" w:cs="仿宋"/>
                <w:szCs w:val="21"/>
              </w:rPr>
              <w:t>1</w:t>
            </w:r>
          </w:p>
        </w:tc>
        <w:tc>
          <w:tcPr>
            <w:tcW w:w="1784" w:type="dxa"/>
            <w:tcBorders>
              <w:top w:val="single" w:color="000000" w:sz="6" w:space="0"/>
              <w:left w:val="single" w:color="000000" w:sz="6" w:space="0"/>
              <w:bottom w:val="single" w:color="000000" w:sz="6" w:space="0"/>
              <w:right w:val="single" w:color="000000" w:sz="6" w:space="0"/>
            </w:tcBorders>
            <w:vAlign w:val="center"/>
          </w:tcPr>
          <w:p w14:paraId="4D79583F">
            <w:pPr>
              <w:jc w:val="center"/>
              <w:rPr>
                <w:rFonts w:ascii="仿宋" w:hAnsi="仿宋" w:eastAsia="仿宋" w:cs="仿宋"/>
                <w:szCs w:val="21"/>
              </w:rPr>
            </w:pPr>
            <w:r>
              <w:rPr>
                <w:rFonts w:hint="eastAsia" w:ascii="仿宋" w:hAnsi="仿宋" w:eastAsia="仿宋" w:cs="仿宋"/>
                <w:szCs w:val="21"/>
              </w:rPr>
              <w:t>棒球</w:t>
            </w:r>
          </w:p>
        </w:tc>
        <w:tc>
          <w:tcPr>
            <w:tcW w:w="1791" w:type="dxa"/>
            <w:tcBorders>
              <w:top w:val="single" w:color="000000" w:sz="6" w:space="0"/>
              <w:left w:val="single" w:color="000000" w:sz="6" w:space="0"/>
              <w:bottom w:val="single" w:color="000000" w:sz="6" w:space="0"/>
              <w:right w:val="single" w:color="000000" w:sz="6" w:space="0"/>
            </w:tcBorders>
            <w:vAlign w:val="center"/>
          </w:tcPr>
          <w:p w14:paraId="3725DDCC">
            <w:pPr>
              <w:ind w:left="73" w:leftChars="35"/>
              <w:jc w:val="center"/>
              <w:rPr>
                <w:rFonts w:ascii="仿宋" w:hAnsi="仿宋" w:eastAsia="仿宋" w:cs="仿宋"/>
                <w:szCs w:val="21"/>
              </w:rPr>
            </w:pPr>
          </w:p>
        </w:tc>
      </w:tr>
      <w:tr w14:paraId="5C10DB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892" w:type="dxa"/>
            <w:tcBorders>
              <w:top w:val="single" w:color="000000" w:sz="6" w:space="0"/>
              <w:left w:val="single" w:color="000000" w:sz="6" w:space="0"/>
              <w:bottom w:val="nil"/>
              <w:right w:val="single" w:color="000000" w:sz="6" w:space="0"/>
            </w:tcBorders>
            <w:vAlign w:val="center"/>
          </w:tcPr>
          <w:p w14:paraId="5A34B0F4">
            <w:pPr>
              <w:ind w:left="27" w:leftChars="13"/>
              <w:jc w:val="center"/>
              <w:rPr>
                <w:rFonts w:ascii="仿宋" w:hAnsi="仿宋" w:eastAsia="仿宋" w:cs="仿宋"/>
                <w:szCs w:val="21"/>
              </w:rPr>
            </w:pPr>
            <w:r>
              <w:rPr>
                <w:rFonts w:hint="eastAsia" w:ascii="仿宋" w:hAnsi="仿宋" w:eastAsia="仿宋" w:cs="仿宋"/>
                <w:szCs w:val="21"/>
              </w:rPr>
              <w:t>B</w:t>
            </w:r>
          </w:p>
        </w:tc>
        <w:tc>
          <w:tcPr>
            <w:tcW w:w="1920" w:type="dxa"/>
            <w:tcBorders>
              <w:top w:val="single" w:color="000000" w:sz="6" w:space="0"/>
              <w:left w:val="single" w:color="000000" w:sz="6" w:space="0"/>
              <w:bottom w:val="nil"/>
              <w:right w:val="single" w:color="000000" w:sz="6" w:space="0"/>
            </w:tcBorders>
            <w:vAlign w:val="center"/>
          </w:tcPr>
          <w:p w14:paraId="5DF5EA83">
            <w:pPr>
              <w:ind w:left="21" w:leftChars="10"/>
              <w:jc w:val="center"/>
              <w:rPr>
                <w:rFonts w:ascii="仿宋" w:hAnsi="仿宋" w:eastAsia="仿宋" w:cs="仿宋"/>
                <w:szCs w:val="21"/>
              </w:rPr>
            </w:pPr>
            <w:r>
              <w:rPr>
                <w:rFonts w:hint="eastAsia" w:ascii="仿宋" w:hAnsi="仿宋" w:eastAsia="仿宋" w:cs="仿宋"/>
                <w:spacing w:val="-1"/>
                <w:szCs w:val="21"/>
              </w:rPr>
              <w:t>11.1.1-14.12.31</w:t>
            </w:r>
          </w:p>
        </w:tc>
        <w:tc>
          <w:tcPr>
            <w:tcW w:w="928" w:type="dxa"/>
            <w:tcBorders>
              <w:top w:val="single" w:color="000000" w:sz="6" w:space="0"/>
              <w:left w:val="single" w:color="000000" w:sz="6" w:space="0"/>
              <w:bottom w:val="nil"/>
              <w:right w:val="single" w:color="000000" w:sz="6" w:space="0"/>
            </w:tcBorders>
            <w:vAlign w:val="center"/>
          </w:tcPr>
          <w:p w14:paraId="3E27F95C">
            <w:pPr>
              <w:jc w:val="center"/>
              <w:rPr>
                <w:rFonts w:ascii="仿宋" w:hAnsi="仿宋" w:eastAsia="仿宋" w:cs="仿宋"/>
                <w:szCs w:val="21"/>
              </w:rPr>
            </w:pPr>
            <w:r>
              <w:rPr>
                <w:rFonts w:hint="eastAsia" w:ascii="仿宋" w:hAnsi="仿宋" w:eastAsia="仿宋" w:cs="仿宋"/>
                <w:szCs w:val="21"/>
              </w:rPr>
              <w:t>1</w:t>
            </w:r>
          </w:p>
        </w:tc>
        <w:tc>
          <w:tcPr>
            <w:tcW w:w="1784" w:type="dxa"/>
            <w:tcBorders>
              <w:top w:val="single" w:color="000000" w:sz="6" w:space="0"/>
              <w:left w:val="single" w:color="000000" w:sz="6" w:space="0"/>
              <w:bottom w:val="single" w:color="000000" w:sz="6" w:space="0"/>
              <w:right w:val="single" w:color="000000" w:sz="6" w:space="0"/>
            </w:tcBorders>
            <w:vAlign w:val="center"/>
          </w:tcPr>
          <w:p w14:paraId="33131A05">
            <w:pPr>
              <w:jc w:val="center"/>
              <w:rPr>
                <w:rFonts w:ascii="仿宋" w:hAnsi="仿宋" w:eastAsia="仿宋" w:cs="仿宋"/>
                <w:szCs w:val="21"/>
              </w:rPr>
            </w:pPr>
            <w:r>
              <w:rPr>
                <w:rFonts w:hint="eastAsia" w:ascii="仿宋" w:hAnsi="仿宋" w:eastAsia="仿宋" w:cs="仿宋"/>
                <w:szCs w:val="21"/>
              </w:rPr>
              <w:t>棒球</w:t>
            </w:r>
          </w:p>
        </w:tc>
        <w:tc>
          <w:tcPr>
            <w:tcW w:w="1791" w:type="dxa"/>
            <w:tcBorders>
              <w:top w:val="single" w:color="000000" w:sz="6" w:space="0"/>
              <w:left w:val="single" w:color="000000" w:sz="6" w:space="0"/>
              <w:bottom w:val="single" w:color="000000" w:sz="6" w:space="0"/>
              <w:right w:val="single" w:color="000000" w:sz="6" w:space="0"/>
            </w:tcBorders>
            <w:vAlign w:val="center"/>
          </w:tcPr>
          <w:p w14:paraId="4305C916">
            <w:pPr>
              <w:ind w:left="73" w:leftChars="35"/>
              <w:jc w:val="center"/>
              <w:rPr>
                <w:rFonts w:ascii="仿宋" w:hAnsi="仿宋" w:eastAsia="仿宋" w:cs="仿宋"/>
                <w:szCs w:val="21"/>
              </w:rPr>
            </w:pPr>
          </w:p>
        </w:tc>
      </w:tr>
      <w:tr w14:paraId="06D8AA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892" w:type="dxa"/>
            <w:tcBorders>
              <w:top w:val="single" w:color="000000" w:sz="6" w:space="0"/>
              <w:left w:val="single" w:color="000000" w:sz="6" w:space="0"/>
              <w:bottom w:val="single" w:color="000000" w:sz="6" w:space="0"/>
              <w:right w:val="single" w:color="000000" w:sz="6" w:space="0"/>
            </w:tcBorders>
            <w:vAlign w:val="center"/>
          </w:tcPr>
          <w:p w14:paraId="3F963FF0">
            <w:pPr>
              <w:ind w:left="27" w:leftChars="13"/>
              <w:jc w:val="center"/>
              <w:rPr>
                <w:rFonts w:ascii="仿宋" w:hAnsi="仿宋" w:eastAsia="仿宋" w:cs="仿宋"/>
                <w:szCs w:val="21"/>
              </w:rPr>
            </w:pPr>
            <w:r>
              <w:rPr>
                <w:rFonts w:hint="eastAsia" w:ascii="仿宋" w:hAnsi="仿宋" w:eastAsia="仿宋" w:cs="仿宋"/>
                <w:szCs w:val="21"/>
              </w:rPr>
              <w:t>C</w:t>
            </w:r>
          </w:p>
        </w:tc>
        <w:tc>
          <w:tcPr>
            <w:tcW w:w="1920" w:type="dxa"/>
            <w:tcBorders>
              <w:top w:val="single" w:color="000000" w:sz="6" w:space="0"/>
              <w:left w:val="single" w:color="000000" w:sz="6" w:space="0"/>
              <w:bottom w:val="single" w:color="000000" w:sz="6" w:space="0"/>
              <w:right w:val="single" w:color="000000" w:sz="6" w:space="0"/>
            </w:tcBorders>
            <w:vAlign w:val="center"/>
          </w:tcPr>
          <w:p w14:paraId="0932C853">
            <w:pPr>
              <w:ind w:left="21" w:leftChars="10"/>
              <w:jc w:val="center"/>
              <w:rPr>
                <w:rFonts w:ascii="仿宋" w:hAnsi="仿宋" w:eastAsia="仿宋" w:cs="仿宋"/>
                <w:szCs w:val="21"/>
              </w:rPr>
            </w:pPr>
            <w:r>
              <w:rPr>
                <w:rFonts w:hint="eastAsia" w:ascii="仿宋" w:hAnsi="仿宋" w:eastAsia="仿宋" w:cs="仿宋"/>
                <w:spacing w:val="-1"/>
                <w:szCs w:val="21"/>
              </w:rPr>
              <w:t>15.1.1-17.12.31</w:t>
            </w:r>
          </w:p>
        </w:tc>
        <w:tc>
          <w:tcPr>
            <w:tcW w:w="928" w:type="dxa"/>
            <w:tcBorders>
              <w:top w:val="single" w:color="000000" w:sz="6" w:space="0"/>
              <w:left w:val="single" w:color="000000" w:sz="6" w:space="0"/>
              <w:bottom w:val="single" w:color="000000" w:sz="6" w:space="0"/>
              <w:right w:val="single" w:color="000000" w:sz="6" w:space="0"/>
            </w:tcBorders>
            <w:vAlign w:val="center"/>
          </w:tcPr>
          <w:p w14:paraId="3D1E9A3B">
            <w:pPr>
              <w:jc w:val="center"/>
              <w:rPr>
                <w:rFonts w:ascii="仿宋" w:hAnsi="仿宋" w:eastAsia="仿宋" w:cs="仿宋"/>
                <w:szCs w:val="21"/>
              </w:rPr>
            </w:pPr>
            <w:r>
              <w:rPr>
                <w:rFonts w:hint="eastAsia" w:ascii="仿宋" w:hAnsi="仿宋" w:eastAsia="仿宋" w:cs="仿宋"/>
                <w:szCs w:val="21"/>
              </w:rPr>
              <w:t>1</w:t>
            </w:r>
          </w:p>
        </w:tc>
        <w:tc>
          <w:tcPr>
            <w:tcW w:w="1784" w:type="dxa"/>
            <w:tcBorders>
              <w:top w:val="single" w:color="000000" w:sz="6" w:space="0"/>
              <w:left w:val="single" w:color="000000" w:sz="6" w:space="0"/>
              <w:bottom w:val="single" w:color="000000" w:sz="6" w:space="0"/>
              <w:right w:val="single" w:color="000000" w:sz="6" w:space="0"/>
            </w:tcBorders>
            <w:vAlign w:val="center"/>
          </w:tcPr>
          <w:p w14:paraId="672549E6">
            <w:pPr>
              <w:jc w:val="center"/>
              <w:rPr>
                <w:rFonts w:ascii="仿宋" w:hAnsi="仿宋" w:eastAsia="仿宋" w:cs="仿宋"/>
                <w:szCs w:val="21"/>
              </w:rPr>
            </w:pPr>
            <w:r>
              <w:rPr>
                <w:rFonts w:hint="eastAsia" w:ascii="仿宋" w:hAnsi="仿宋" w:eastAsia="仿宋" w:cs="仿宋"/>
                <w:szCs w:val="21"/>
              </w:rPr>
              <w:t>棒球</w:t>
            </w:r>
          </w:p>
        </w:tc>
        <w:tc>
          <w:tcPr>
            <w:tcW w:w="1791" w:type="dxa"/>
            <w:tcBorders>
              <w:top w:val="single" w:color="000000" w:sz="6" w:space="0"/>
              <w:left w:val="single" w:color="000000" w:sz="6" w:space="0"/>
              <w:bottom w:val="single" w:color="000000" w:sz="6" w:space="0"/>
              <w:right w:val="single" w:color="000000" w:sz="6" w:space="0"/>
            </w:tcBorders>
            <w:vAlign w:val="center"/>
          </w:tcPr>
          <w:p w14:paraId="00E23673">
            <w:pPr>
              <w:ind w:left="73" w:leftChars="35"/>
              <w:jc w:val="center"/>
              <w:rPr>
                <w:rFonts w:ascii="仿宋" w:hAnsi="仿宋" w:eastAsia="仿宋" w:cs="仿宋"/>
                <w:szCs w:val="21"/>
              </w:rPr>
            </w:pPr>
          </w:p>
        </w:tc>
      </w:tr>
    </w:tbl>
    <w:p w14:paraId="650D4395">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八、参赛资格</w:t>
      </w:r>
    </w:p>
    <w:p w14:paraId="48E69F31">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（一）运动员须具有中国国籍（包括港、澳、台）。运动员须经医务部门检查，证明身体健康，适合参赛。</w:t>
      </w:r>
    </w:p>
    <w:p w14:paraId="52760280">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（二）每名运动员只能代表一个单位（代表团）参赛；运动员不得跨越组别参赛。</w:t>
      </w:r>
    </w:p>
    <w:p w14:paraId="6607CEA1">
      <w:pPr>
        <w:spacing w:line="540" w:lineRule="exact"/>
        <w:ind w:firstLine="560" w:firstLineChars="200"/>
        <w:rPr>
          <w:rFonts w:ascii="仿宋" w:hAnsi="仿宋" w:eastAsia="仿宋" w:cs="仿宋"/>
          <w:sz w:val="28"/>
          <w:szCs w:val="28"/>
        </w:rPr>
      </w:pPr>
      <w:bookmarkStart w:id="0" w:name="_Hlk94972236"/>
      <w:r>
        <w:rPr>
          <w:rFonts w:hint="eastAsia" w:ascii="仿宋" w:hAnsi="仿宋" w:eastAsia="仿宋" w:cs="仿宋"/>
          <w:sz w:val="28"/>
          <w:szCs w:val="28"/>
        </w:rPr>
        <w:t>（三）参赛运动员必须是2026年在本市有效注册的青少年运动员，并持本人当年有效的《上海市青少年运动员注册卡》参赛。</w:t>
      </w:r>
      <w:bookmarkEnd w:id="0"/>
    </w:p>
    <w:p w14:paraId="5BB546DE">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（四）参赛运动员须达到2026年上海市棒球二线体能测试赛准入标准分（30分及以上），方可参加本次比赛。（A组运动员除外）。</w:t>
      </w:r>
    </w:p>
    <w:p w14:paraId="33644A7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327AF233">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（六）2026年已在外省市注册或代表外省市在国家体育总局注册的运动员不得参加比赛，经上海市体育局批准同意交流至外省市的运动员除外。</w:t>
      </w:r>
    </w:p>
    <w:p w14:paraId="46E8A641">
      <w:pPr>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（七）本市市属青少年高水平运动队在编运动员代表注册单位参赛。</w:t>
      </w:r>
    </w:p>
    <w:p w14:paraId="551FE9C1">
      <w:pPr>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（八）</w:t>
      </w:r>
      <w:r>
        <w:rPr>
          <w:rFonts w:hint="eastAsia" w:ascii="仿宋" w:hAnsi="仿宋" w:eastAsia="仿宋" w:cs="仿宋"/>
          <w:sz w:val="28"/>
          <w:szCs w:val="28"/>
        </w:rPr>
        <w:t>经市教委、市体育局共同认定的上海市高中阶段学校引进优秀体育学生，于2026年7月10日前办理注册手续的，可直接参加本届运动会。</w:t>
      </w:r>
    </w:p>
    <w:p w14:paraId="6A273CE8">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九、参加办法</w:t>
      </w:r>
    </w:p>
    <w:p w14:paraId="7E58779B">
      <w:pPr>
        <w:overflowPunct w:val="0"/>
        <w:topLinePunct/>
        <w:spacing w:line="540" w:lineRule="exact"/>
        <w:ind w:left="105" w:leftChars="50" w:firstLine="560" w:firstLineChars="200"/>
        <w:rPr>
          <w:rFonts w:ascii="仿宋" w:hAnsi="仿宋" w:eastAsia="仿宋" w:cs="仿宋"/>
          <w:sz w:val="28"/>
          <w:szCs w:val="28"/>
        </w:rPr>
      </w:pPr>
      <w:r>
        <w:rPr>
          <w:rFonts w:hint="eastAsia" w:ascii="仿宋" w:hAnsi="仿宋" w:eastAsia="仿宋" w:cs="仿宋"/>
          <w:sz w:val="28"/>
          <w:szCs w:val="28"/>
        </w:rPr>
        <w:t>（一）各区各组可报1支队伍，每队可报领队1名，教练员1-3名，运动员9-20名。</w:t>
      </w:r>
    </w:p>
    <w:p w14:paraId="22F161A8">
      <w:pPr>
        <w:adjustRightInd w:val="0"/>
        <w:snapToGrid w:val="0"/>
        <w:spacing w:line="540" w:lineRule="exact"/>
        <w:ind w:firstLine="561"/>
        <w:rPr>
          <w:rFonts w:ascii="仿宋" w:hAnsi="仿宋" w:eastAsia="仿宋" w:cs="仿宋"/>
          <w:sz w:val="28"/>
          <w:szCs w:val="28"/>
        </w:rPr>
      </w:pPr>
      <w:r>
        <w:rPr>
          <w:rFonts w:hint="eastAsia" w:ascii="仿宋" w:hAnsi="仿宋" w:eastAsia="仿宋" w:cs="仿宋"/>
          <w:sz w:val="28"/>
          <w:szCs w:val="28"/>
        </w:rPr>
        <w:t>（二）交流运动员报名人数不超过该组别实际报名人数30%（按四舍五入计），上场人数不超过2人（按四舍五入计）。</w:t>
      </w:r>
    </w:p>
    <w:p w14:paraId="54CA22B1">
      <w:pPr>
        <w:adjustRightInd w:val="0"/>
        <w:snapToGrid w:val="0"/>
        <w:spacing w:line="540" w:lineRule="exact"/>
        <w:ind w:firstLine="561"/>
        <w:rPr>
          <w:rFonts w:ascii="仿宋" w:hAnsi="仿宋" w:eastAsia="仿宋" w:cs="仿宋"/>
          <w:sz w:val="28"/>
          <w:szCs w:val="28"/>
        </w:rPr>
      </w:pPr>
      <w:r>
        <w:rPr>
          <w:rFonts w:hint="eastAsia" w:ascii="仿宋" w:hAnsi="仿宋" w:eastAsia="仿宋" w:cs="仿宋"/>
          <w:sz w:val="28"/>
          <w:szCs w:val="28"/>
        </w:rPr>
        <w:t>（三）教练员只能代表一个单位报名参赛，且须是2026年在本市有效注册的青训教练员，方可报名参赛。</w:t>
      </w:r>
    </w:p>
    <w:p w14:paraId="213C36A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（四）参赛单位通过大会指定的网站</w:t>
      </w:r>
      <w:r>
        <w:fldChar w:fldCharType="begin"/>
      </w:r>
      <w:r>
        <w:instrText xml:space="preserve"> HYPERLINK "http://www.aijingsai.cn" </w:instrText>
      </w:r>
      <w:r>
        <w:fldChar w:fldCharType="separate"/>
      </w:r>
      <w:r>
        <w:rPr>
          <w:rStyle w:val="13"/>
          <w:rFonts w:hint="eastAsia" w:ascii="仿宋" w:hAnsi="仿宋" w:eastAsia="仿宋" w:cs="仿宋"/>
          <w:color w:val="auto"/>
          <w:sz w:val="28"/>
          <w:szCs w:val="28"/>
        </w:rPr>
        <w:t>www.aijingsai.cn</w:t>
      </w:r>
      <w:r>
        <w:rPr>
          <w:rStyle w:val="13"/>
          <w:rFonts w:hint="eastAsia" w:ascii="仿宋" w:hAnsi="仿宋" w:eastAsia="仿宋" w:cs="仿宋"/>
          <w:color w:val="auto"/>
          <w:sz w:val="28"/>
          <w:szCs w:val="28"/>
        </w:rPr>
        <w:fldChar w:fldCharType="end"/>
      </w:r>
      <w:r>
        <w:rPr>
          <w:rFonts w:hint="eastAsia" w:ascii="仿宋" w:hAnsi="仿宋" w:eastAsia="仿宋" w:cs="仿宋"/>
          <w:sz w:val="28"/>
          <w:szCs w:val="28"/>
        </w:rPr>
        <w:t>（上海青少年体育赛事网）进行网上报名，并在规定时间内将导出打印的报名表加盖公章后，一式两份报大会组委会竞赛部（地址：徐汇区零陵路800号8楼，竞赛部，31211118）。</w:t>
      </w:r>
    </w:p>
    <w:p w14:paraId="31B6A345">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十、竞赛办法</w:t>
      </w:r>
    </w:p>
    <w:p w14:paraId="65D21658">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（一）分组与编排</w:t>
      </w:r>
    </w:p>
    <w:p w14:paraId="2FEFE18B">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1.分组</w:t>
      </w:r>
    </w:p>
    <w:p w14:paraId="018313D4">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（1）根据参赛队数分组。</w:t>
      </w:r>
    </w:p>
    <w:p w14:paraId="5D5310E5">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按2026年上海市青少年棒球锦标赛名次蛇形排列分组。如同区有两个名次，则采用就高原则参与排位，后序名次依次递补排位；未参加上述赛事或未取得名次的球队，则进行抽签分组。如果获得名次的队伍因故未参加比赛，则后序名次依次递补排位。</w:t>
      </w:r>
    </w:p>
    <w:p w14:paraId="5E0335F5">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2.编排</w:t>
      </w:r>
    </w:p>
    <w:p w14:paraId="68B40528">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循环赛（包括分组循环赛）依据2026年上海市青少年棒球锦标赛名次，采用“1”不动逆时针旋转原则进行编排，未参加上述赛事及未取得名次的球队，按照抽签分组落位参与编排。</w:t>
      </w:r>
    </w:p>
    <w:p w14:paraId="557508A0">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3.交流运动员（队）的编排</w:t>
      </w:r>
    </w:p>
    <w:p w14:paraId="1F9B897D">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（1）若有交流协议（合作）运动员（队），比赛安排在前两轮进行（含单循环比赛）。具体队伍的认定由竞委会进行认定，并在领队会进行公布。</w:t>
      </w:r>
    </w:p>
    <w:p w14:paraId="2F69860C">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（2）如各区交流队伍较多，无法在前两轮完成关联球队的比赛（含单循环比赛），则执行本规程的分组与编排方法。</w:t>
      </w:r>
    </w:p>
    <w:p w14:paraId="1B67BC74">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（二）竞赛规则</w:t>
      </w:r>
    </w:p>
    <w:p w14:paraId="508F9633">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1.按照中国棒球协会最新审定的《棒球竞赛规则》及有关规定执行。</w:t>
      </w:r>
    </w:p>
    <w:p w14:paraId="63681831">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2.比赛局数与时间</w:t>
      </w:r>
    </w:p>
    <w:p w14:paraId="76A4EE2F">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比赛为7局或90分钟，有效比赛为3局。</w:t>
      </w:r>
    </w:p>
    <w:p w14:paraId="0F26DE05">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当上述比赛结束形成平局时，则：</w:t>
      </w:r>
    </w:p>
    <w:p w14:paraId="4410AD1E">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（1）循环赛为有效比赛，双方各得1分；</w:t>
      </w:r>
    </w:p>
    <w:p w14:paraId="2366E93C">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（2）其它赛制，则进行延长局比赛，但从延长局起，一、二垒放置跑垒员，直至比赛分出胜负。</w:t>
      </w:r>
    </w:p>
    <w:p w14:paraId="7806EFE6">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3.领先规则</w:t>
      </w:r>
    </w:p>
    <w:p w14:paraId="6231B297">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比赛中一方三局领先15分或15分以上；四局领先10分或10分以上；五局领先7分或7分以上时，即可结束比赛。</w:t>
      </w:r>
    </w:p>
    <w:p w14:paraId="29028E7D">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4.比赛不采用指定击球员。</w:t>
      </w:r>
    </w:p>
    <w:p w14:paraId="0B26C19F">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5.特殊规定</w:t>
      </w:r>
    </w:p>
    <w:p w14:paraId="5004EAB8">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（1）攻守交换</w:t>
      </w:r>
    </w:p>
    <w:p w14:paraId="1C904828">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三人出局或单局进攻队得6分交换攻守。第二阶段（含）后的前四名比赛不执行单局进攻队得6分交换攻守的规定。</w:t>
      </w:r>
    </w:p>
    <w:p w14:paraId="09598AA4">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（2）投手规定</w:t>
      </w:r>
    </w:p>
    <w:p w14:paraId="62369293">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1）每场比赛投手投球局数不得超过2局（含）。投手踏板试投1球即为1局。超过规定投球局数，按弃权处理。延长局投球局数不纳入统计范围，但须符合规则有关上场比赛的规定。</w:t>
      </w:r>
    </w:p>
    <w:p w14:paraId="46ADFA23">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2）防守队每场比赛可以指导投手2次，如进行延长局比赛，则每2局指导投手1次。教练员指导投手时，只允许对1名投手和1名防守队员进行指导，其他防守队员不得在场。</w:t>
      </w:r>
    </w:p>
    <w:p w14:paraId="0DA66BA3">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3）C组投手不得投变化球</w:t>
      </w:r>
    </w:p>
    <w:p w14:paraId="48E20757">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①投手一旦投出变化球，除判“一球”外，还应向投手以及主教练提出警告，若再投出变化球，则将该投手调离投手位置，且在本场比赛中不得再担任投手。</w:t>
      </w:r>
    </w:p>
    <w:p w14:paraId="56924A73">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②若投手投出的变化球击球员未击或挥击不中，则继续比赛，跑垒员可以偷垒，若偷垒失败，不判出局，但需返回原垒，死球。</w:t>
      </w:r>
    </w:p>
    <w:p w14:paraId="25545DBC">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③若投手投出的变化球被击球员击出</w:t>
      </w:r>
    </w:p>
    <w:p w14:paraId="34A288A6">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a.若击球员或跑垒员出局，则攻队可以选择。即选择按投变化球处理，判击球员“一球”，重新击球，其他跑垒员回到投手投球时所占的垒位，或选择所形成的局面有效；</w:t>
      </w:r>
    </w:p>
    <w:p w14:paraId="788D39FE">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b.若击球员因各种原因安全进至一垒，垒上跑垒员安全进至下一垒位或安全停留在原占垒位，则所形成的局面有效，不得选择。</w:t>
      </w:r>
    </w:p>
    <w:p w14:paraId="64339A44">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④若投手投出的变化球被击成界外球或击球员不合法击球，则判击球员“一球”，死球，攻守行为无效。</w:t>
      </w:r>
    </w:p>
    <w:p w14:paraId="46FCF70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（3）击球员</w:t>
      </w:r>
    </w:p>
    <w:p w14:paraId="07A5E869">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击球后不得甩棒，比赛中第一次出现给予警告，若第一次甩棒裁判认为影响防守，或造成严重后果可直接判出局；第二次开始即判出局，死球，跑垒员回到投手投球时所占的垒位。</w:t>
      </w:r>
    </w:p>
    <w:p w14:paraId="4D47F79F">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（4）比赛中如遇天气等不可抗力因素，不能按既定赛程将所有比赛比完时，竞委会有权根据天气和比赛进程等情况变更后续比赛方法和名次产生办法。</w:t>
      </w:r>
    </w:p>
    <w:p w14:paraId="11DBE8FD">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（5）距比赛结束不足5分钟（含），则不再新开一局，比赛结束。</w:t>
      </w:r>
    </w:p>
    <w:p w14:paraId="08BC5232">
      <w:pPr>
        <w:spacing w:line="540" w:lineRule="exact"/>
        <w:ind w:firstLine="560" w:firstLineChars="200"/>
        <w:rPr>
          <w:rFonts w:ascii="仿宋" w:hAnsi="仿宋" w:eastAsia="仿宋" w:cs="仿宋"/>
          <w:sz w:val="28"/>
          <w:szCs w:val="28"/>
        </w:rPr>
      </w:pPr>
      <w:bookmarkStart w:id="1" w:name="_Hlk95210144"/>
      <w:bookmarkStart w:id="2" w:name="_Hlk95247784"/>
      <w:r>
        <w:rPr>
          <w:rFonts w:hint="eastAsia" w:ascii="仿宋" w:hAnsi="仿宋" w:eastAsia="仿宋" w:cs="仿宋"/>
          <w:sz w:val="28"/>
          <w:szCs w:val="28"/>
        </w:rPr>
        <w:t>（三）赛制</w:t>
      </w:r>
    </w:p>
    <w:p w14:paraId="10F562C0">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根据参赛队数确定竞赛办法。</w:t>
      </w:r>
    </w:p>
    <w:p w14:paraId="339F742E">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1.3队</w:t>
      </w:r>
    </w:p>
    <w:p w14:paraId="437EB2E5">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双循环赛。</w:t>
      </w:r>
    </w:p>
    <w:p w14:paraId="155DD167">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2.4-5队</w:t>
      </w:r>
    </w:p>
    <w:p w14:paraId="56FF81AF">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单循环赛。</w:t>
      </w:r>
    </w:p>
    <w:p w14:paraId="432424DD">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3.6-11队</w:t>
      </w:r>
    </w:p>
    <w:p w14:paraId="07576FC7">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分组循环加交叉淘汰赛。</w:t>
      </w:r>
    </w:p>
    <w:p w14:paraId="508ED142">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第一阶段，分A、B两组进行单循环比赛，排出各小组名次；第二阶段，两个小组的一、二名和三、四名分别进行交叉淘汰赛，决出比赛名次。剩余队伍不再进行比赛。</w:t>
      </w:r>
    </w:p>
    <w:p w14:paraId="4F8DB5AD">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4.12队及以上</w:t>
      </w:r>
    </w:p>
    <w:p w14:paraId="1E36BE39">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分组循环加交叉淘汰赛。</w:t>
      </w:r>
    </w:p>
    <w:p w14:paraId="385727A2">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首先，将参赛队分成A、B、C、D四组，其中A、D组为上半区、B、C组为下半区。然后进行三个阶段的比赛。</w:t>
      </w:r>
    </w:p>
    <w:p w14:paraId="1F76D1B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第一阶段：分组单循环赛，产生各小组名次；</w:t>
      </w:r>
    </w:p>
    <w:p w14:paraId="5B69E034">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第二阶段：A、D组和B、C组前两名分别组成上、下半区，两个半区分别进行单循环赛</w:t>
      </w:r>
      <w:r>
        <w:rPr>
          <w:rFonts w:hint="eastAsia" w:ascii="仿宋" w:hAnsi="仿宋" w:eastAsia="仿宋" w:cs="仿宋"/>
          <w:b/>
          <w:bCs/>
          <w:sz w:val="28"/>
          <w:szCs w:val="28"/>
        </w:rPr>
        <w:t>（第一阶段分组循环赛已相遇过的球队不再进行比赛，已有成绩直接带入）</w:t>
      </w:r>
      <w:r>
        <w:rPr>
          <w:rFonts w:hint="eastAsia" w:ascii="仿宋" w:hAnsi="仿宋" w:eastAsia="仿宋" w:cs="仿宋"/>
          <w:sz w:val="28"/>
          <w:szCs w:val="28"/>
        </w:rPr>
        <w:t>，排出上、下半区的名次。剩余队伍不再安排比赛。</w:t>
      </w:r>
    </w:p>
    <w:p w14:paraId="2176A6F7">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第三阶段：上、下半区的一、二名和三、四名分别进行交叉淘汰赛，分别决出1-4名，5-8名比赛名次。</w:t>
      </w:r>
    </w:p>
    <w:p w14:paraId="47005728">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5.各组别参赛队伍少于2个参赛单位3队，则取消该组别比赛。</w:t>
      </w:r>
    </w:p>
    <w:bookmarkEnd w:id="1"/>
    <w:bookmarkEnd w:id="2"/>
    <w:p w14:paraId="7578D5C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（四）积分与名次确定办法</w:t>
      </w:r>
    </w:p>
    <w:p w14:paraId="604B0475">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1.循环赛中胜一场得2分，平一场得 1 分，负一场得0分，弃权得-3分（A、B 组弃权球队为 0:7 负，C组弃权球队为0:6负），积分多者名次列前。</w:t>
      </w:r>
    </w:p>
    <w:p w14:paraId="249FA6B0">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2.循环赛中如遇两队(含)以上积分相等，按下列办法决定名次：</w:t>
      </w:r>
    </w:p>
    <w:p w14:paraId="4CCA13FF">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（1）根据积分相同队伍间比赛的胜场数确定名次，胜场多者名次列前；</w:t>
      </w:r>
    </w:p>
    <w:p w14:paraId="0A835F5F">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（2）根据积分相同队伍间比赛的优质平均数（英文简称TQB）确定名次，高者名次列前；如优质平均数相同，则相同者之间比赛的胜者名次列前；TQB 计算公式如下：</w:t>
      </w:r>
    </w:p>
    <w:p w14:paraId="15A61903">
      <w:pPr>
        <w:adjustRightInd w:val="0"/>
        <w:snapToGrid w:val="0"/>
        <w:spacing w:line="540" w:lineRule="exact"/>
        <w:ind w:firstLine="561"/>
        <w:rPr>
          <w:rFonts w:ascii="仿宋" w:hAnsi="仿宋" w:eastAsia="仿宋" w:cs="仿宋"/>
          <w:sz w:val="28"/>
          <w:szCs w:val="28"/>
        </w:rPr>
      </w:pPr>
      <w:r>
        <w:rPr>
          <w:rFonts w:hint="eastAsia" w:ascii="仿宋" w:hAnsi="仿宋" w:eastAsia="仿宋" w:cs="仿宋"/>
          <w:sz w:val="28"/>
          <w:szCs w:val="28"/>
        </w:rPr>
        <w:t>TQB=（本队得分÷本队进攻局数）-（本队失分÷本队防守局数）</w:t>
      </w:r>
    </w:p>
    <w:p w14:paraId="181C30F6">
      <w:pPr>
        <w:adjustRightInd w:val="0"/>
        <w:snapToGrid w:val="0"/>
        <w:spacing w:line="540" w:lineRule="exact"/>
        <w:ind w:firstLine="561"/>
        <w:rPr>
          <w:rFonts w:ascii="仿宋" w:hAnsi="仿宋" w:eastAsia="仿宋" w:cs="仿宋"/>
          <w:sz w:val="28"/>
          <w:szCs w:val="28"/>
        </w:rPr>
      </w:pPr>
      <w:r>
        <w:rPr>
          <w:rFonts w:hint="eastAsia" w:ascii="仿宋" w:hAnsi="仿宋" w:eastAsia="仿宋" w:cs="仿宋"/>
          <w:sz w:val="28"/>
          <w:szCs w:val="28"/>
        </w:rPr>
        <w:t>（3）根据积分相同队伍间比赛的责任失分的优质平均数</w:t>
      </w:r>
      <w:r>
        <w:rPr>
          <w:rFonts w:hint="eastAsia" w:ascii="仿宋" w:hAnsi="仿宋" w:eastAsia="仿宋" w:cs="仿宋"/>
          <w:color w:val="000000"/>
          <w:kern w:val="0"/>
          <w:sz w:val="28"/>
          <w:szCs w:val="28"/>
        </w:rPr>
        <w:t>（ER·TQB）</w:t>
      </w:r>
      <w:r>
        <w:rPr>
          <w:rFonts w:hint="eastAsia" w:ascii="仿宋" w:hAnsi="仿宋" w:eastAsia="仿宋" w:cs="仿宋"/>
          <w:sz w:val="28"/>
          <w:szCs w:val="28"/>
        </w:rPr>
        <w:t>确定排名，高者列前。</w:t>
      </w:r>
    </w:p>
    <w:p w14:paraId="29DD5172">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color w:val="000000"/>
          <w:kern w:val="0"/>
          <w:sz w:val="28"/>
          <w:szCs w:val="28"/>
        </w:rPr>
        <w:t>（ER·TQB）</w:t>
      </w:r>
      <w:r>
        <w:rPr>
          <w:rFonts w:hint="eastAsia" w:ascii="仿宋" w:hAnsi="仿宋" w:eastAsia="仿宋" w:cs="仿宋"/>
          <w:sz w:val="28"/>
          <w:szCs w:val="28"/>
        </w:rPr>
        <w:t xml:space="preserve"> 计算公式如下：</w:t>
      </w:r>
    </w:p>
    <w:p w14:paraId="5631DB8C">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color w:val="000000"/>
          <w:kern w:val="0"/>
          <w:sz w:val="28"/>
          <w:szCs w:val="28"/>
        </w:rPr>
        <w:t>（ER·TQB）</w:t>
      </w:r>
      <w:r>
        <w:rPr>
          <w:rFonts w:hint="eastAsia" w:ascii="仿宋" w:hAnsi="仿宋" w:eastAsia="仿宋" w:cs="仿宋"/>
          <w:sz w:val="28"/>
          <w:szCs w:val="28"/>
        </w:rPr>
        <w:t>=（本队得分中对手的责任失分÷本队进攻局数）-（本队失分中己方的责任失分÷本队防守局数）</w:t>
      </w:r>
    </w:p>
    <w:p w14:paraId="5D4933B2">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（4）根据积分相同队伍间比赛的安打率高低确定排名，高者列前。</w:t>
      </w:r>
    </w:p>
    <w:p w14:paraId="6FAAFE80">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（5）掷硬币决定名次。</w:t>
      </w:r>
    </w:p>
    <w:p w14:paraId="78B264B0">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（五）场地、器材、装备</w:t>
      </w:r>
    </w:p>
    <w:p w14:paraId="0185F200">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1.场地</w:t>
      </w:r>
    </w:p>
    <w:p w14:paraId="36C44CD6">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（1）投手距离</w:t>
      </w:r>
    </w:p>
    <w:p w14:paraId="52AEDA0A">
      <w:pPr>
        <w:tabs>
          <w:tab w:val="left" w:pos="142"/>
        </w:tabs>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A、B组：18.44米；C组：14.2米。</w:t>
      </w:r>
    </w:p>
    <w:p w14:paraId="18EF99DC">
      <w:pPr>
        <w:tabs>
          <w:tab w:val="left" w:pos="142"/>
        </w:tabs>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（2）垒间距</w:t>
      </w:r>
    </w:p>
    <w:p w14:paraId="3AEE59CD">
      <w:pPr>
        <w:tabs>
          <w:tab w:val="left" w:pos="142"/>
        </w:tabs>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A、B组：27.43米； C组：21.12米。</w:t>
      </w:r>
    </w:p>
    <w:p w14:paraId="4B7B0B67">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（3）本垒打距离</w:t>
      </w:r>
    </w:p>
    <w:p w14:paraId="784B6C47">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根据比赛场地情况确定本垒打距离以及是否设置本垒打围网或本垒打标志。</w:t>
      </w:r>
    </w:p>
    <w:p w14:paraId="22BBD885">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（4）比赛有效区</w:t>
      </w:r>
    </w:p>
    <w:p w14:paraId="310CB8E9">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A、B组不小于8米，C组不小于5米。</w:t>
      </w:r>
    </w:p>
    <w:p w14:paraId="0B032531">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2.器材</w:t>
      </w:r>
    </w:p>
    <w:p w14:paraId="2EC4E805">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（1）比赛用球：</w:t>
      </w:r>
    </w:p>
    <w:p w14:paraId="2112C0F8">
      <w:pPr>
        <w:spacing w:line="540" w:lineRule="exact"/>
        <w:ind w:firstLine="560" w:firstLineChars="200"/>
        <w:rPr>
          <w:rFonts w:ascii="仿宋" w:hAnsi="仿宋" w:eastAsia="仿宋" w:cs="仿宋"/>
          <w:sz w:val="28"/>
          <w:szCs w:val="28"/>
        </w:rPr>
      </w:pPr>
      <w:bookmarkStart w:id="3" w:name="_Hlk95248862"/>
      <w:r>
        <w:rPr>
          <w:rFonts w:hint="eastAsia" w:ascii="仿宋" w:hAnsi="仿宋" w:eastAsia="仿宋" w:cs="仿宋"/>
          <w:sz w:val="28"/>
          <w:szCs w:val="28"/>
        </w:rPr>
        <w:t>A、B组：布瑞特BR-200比赛球；</w:t>
      </w:r>
    </w:p>
    <w:p w14:paraId="5FE295D6">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C组：布瑞特BR-350比赛球。</w:t>
      </w:r>
    </w:p>
    <w:bookmarkEnd w:id="3"/>
    <w:p w14:paraId="0E2B16A0">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（2）球棒</w:t>
      </w:r>
    </w:p>
    <w:p w14:paraId="42427B8C">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比赛使用符合全国U系列青少年比赛要求的金属球棒。</w:t>
      </w:r>
      <w:bookmarkStart w:id="4" w:name="_Hlk95248942"/>
    </w:p>
    <w:p w14:paraId="117F6964">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3.装备</w:t>
      </w:r>
    </w:p>
    <w:p w14:paraId="4B019166">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（1）护具</w:t>
      </w:r>
    </w:p>
    <w:p w14:paraId="1D4296E1">
      <w:pPr>
        <w:spacing w:line="540" w:lineRule="exact"/>
        <w:ind w:firstLine="560" w:firstLineChars="200"/>
        <w:rPr>
          <w:rFonts w:ascii="仿宋" w:hAnsi="仿宋" w:eastAsia="仿宋" w:cs="仿宋"/>
          <w:sz w:val="28"/>
          <w:szCs w:val="28"/>
        </w:rPr>
      </w:pPr>
      <w:bookmarkStart w:id="5" w:name="_Hlk95251330"/>
      <w:r>
        <w:rPr>
          <w:rFonts w:hint="eastAsia" w:ascii="仿宋" w:hAnsi="仿宋" w:eastAsia="仿宋" w:cs="仿宋"/>
          <w:sz w:val="28"/>
          <w:szCs w:val="28"/>
        </w:rPr>
        <w:t>接手在比赛或练习时，都必须穿戴护胸、护腿和完整的接手头盔（包括面罩）。</w:t>
      </w:r>
    </w:p>
    <w:bookmarkEnd w:id="5"/>
    <w:p w14:paraId="63E2F1D2">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（2）头盔</w:t>
      </w:r>
    </w:p>
    <w:p w14:paraId="3583B52F">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准备击球员、击球员、跑垒员，以及A、B组进入跑垒指导区的球队成员都必须佩戴头盔，C组必须佩戴双耳头盔。</w:t>
      </w:r>
    </w:p>
    <w:p w14:paraId="66A7DE87">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（3）服装与球鞋</w:t>
      </w:r>
    </w:p>
    <w:p w14:paraId="2635977C">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1）运动员必须穿着、佩戴统一的棒球服和棒球帽，上衣号码清晰。</w:t>
      </w:r>
    </w:p>
    <w:p w14:paraId="5E1BE17F">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2）跑垒指导区的两名教练员必须穿着、佩戴相同款色的运动服和棒球帽，否则不得进场指挥。</w:t>
      </w:r>
    </w:p>
    <w:p w14:paraId="0AB151EC">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3）球鞋：比赛时运动员必须穿着胶底运动鞋。</w:t>
      </w:r>
    </w:p>
    <w:p w14:paraId="6C2F03D8">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4）危险饰品：运动员不得佩戴可能使自己或他人受伤的饰品上场比赛。</w:t>
      </w:r>
      <w:bookmarkEnd w:id="4"/>
    </w:p>
    <w:p w14:paraId="74E29D38">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（六）弃权规定</w:t>
      </w:r>
    </w:p>
    <w:p w14:paraId="62598AAB">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1.缺席比赛</w:t>
      </w:r>
    </w:p>
    <w:p w14:paraId="3EF13911">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（1）无故缺席比赛，或比赛开始时不足规则规定人数时，则取消参赛资格，已完成的比赛成绩无效，且不计名次。</w:t>
      </w:r>
    </w:p>
    <w:p w14:paraId="2E613B31">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（2）特殊情况缺席比赛</w:t>
      </w:r>
    </w:p>
    <w:p w14:paraId="704E43B6">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须在赛前向竞委会提出申请，并在之后的三天内提交相应书面证明材料；因伤、病不能参赛的，应出具二级甲等及以上医院病假单，经参赛单位盖章，负责人签字确认；因参加全国比赛、集训等事宜不能参赛的，应出具全国比赛代表单位、项目中心等的证明（盖章），分管领导签字确认。并在之后的三天内提交盖有主管单位或权威机构印章的书面证明材料。</w:t>
      </w:r>
    </w:p>
    <w:p w14:paraId="48400AC9">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2.比赛开始时，在经场地医务人员确认伤、病队员不适宜继续比赛而导致比赛队员不足规则规定人数的参赛队则被判为弃权，并按规程执行。</w:t>
      </w:r>
    </w:p>
    <w:p w14:paraId="0F863C36">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3.除不可抗力因素外，所有参赛队都应准时到场比赛。凡迟到15分钟（含）以上抵达赛场的参赛队则被判为弃权，并按规程执行。</w:t>
      </w:r>
    </w:p>
    <w:p w14:paraId="71485EF6">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4.其他涉及规则、规程条款的弃权，按规程执行。若规程未涉及，则按规则执行。</w:t>
      </w:r>
    </w:p>
    <w:p w14:paraId="15D2C012">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十一、录取名次、计牌计分和奖励办法</w:t>
      </w:r>
    </w:p>
    <w:p w14:paraId="5E96CC0D">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（一）各组别录取前八名，不足8队参赛的，则按实际参赛队数录取名次。</w:t>
      </w:r>
    </w:p>
    <w:p w14:paraId="1AF774C3">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有8队以上（含8队）参赛的，前三名依次按4金、2金、1金计牌，前八名依次按44、36、32、28、24、20、16、12计分；有3至7队参赛的，前三名依次按3金、1金、0.5金计牌，前七名依次按33、27、24、21、18、15、12计分。</w:t>
      </w:r>
    </w:p>
    <w:p w14:paraId="6CDAFCD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（三）开展“体育道德风尚奖”评选活动，按照本届运动会竞赛规程总则的有关规定执行。</w:t>
      </w:r>
    </w:p>
    <w:p w14:paraId="28229E9F">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十二、申诉和纪律</w:t>
      </w:r>
    </w:p>
    <w:p w14:paraId="7FCDAEAD">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（一）技术申诉按照中国棒球协会有关规定执行。</w:t>
      </w:r>
    </w:p>
    <w:p w14:paraId="6F1A6EB8">
      <w:pPr>
        <w:numPr>
          <w:ilvl w:val="255"/>
          <w:numId w:val="0"/>
        </w:num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对运动员、教练员、裁判员和体育赛事组织者违反本届运动会赛风赛纪情形，一经查实，按照《上海市体育赛事活动赛风赛纪管理实施细则》及市运会组委会有关规定进行处罚。对发生任何兴奋剂违规事件的，按国家体育总局、上海市体育局反兴奋剂相关规定进行处罚。</w:t>
      </w:r>
    </w:p>
    <w:p w14:paraId="59A5F2E5">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十三、技术官员</w:t>
      </w:r>
    </w:p>
    <w:p w14:paraId="4E643327">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按照本届运动会竞赛规程总则的有关规定执行。</w:t>
      </w:r>
    </w:p>
    <w:p w14:paraId="750B3196">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十四、运动员技术等级授予</w:t>
      </w:r>
    </w:p>
    <w:p w14:paraId="69FF5077">
      <w:pPr>
        <w:adjustRightInd w:val="0"/>
        <w:snapToGrid w:val="0"/>
        <w:spacing w:line="540" w:lineRule="exact"/>
        <w:ind w:firstLine="560" w:firstLineChars="200"/>
        <w:rPr>
          <w:rFonts w:ascii="仿宋" w:hAnsi="仿宋" w:eastAsia="仿宋" w:cs="仿宋"/>
          <w:bCs/>
          <w:sz w:val="28"/>
          <w:szCs w:val="28"/>
        </w:rPr>
      </w:pPr>
      <w:r>
        <w:rPr>
          <w:rFonts w:hint="eastAsia" w:ascii="仿宋" w:hAnsi="仿宋" w:eastAsia="仿宋" w:cs="仿宋"/>
          <w:bCs/>
          <w:sz w:val="28"/>
          <w:szCs w:val="28"/>
        </w:rPr>
        <w:t xml:space="preserve">本次比赛为2026年国家体育总局公布的可授予运动员技术等级称号赛事，本次比赛A组为可授予运动员技术等级的组别，具体标准按国家体育总局最新发布的《棒球运动员技术等级标准》执行。    </w:t>
      </w:r>
    </w:p>
    <w:p w14:paraId="71FDD657">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十五、其他</w:t>
      </w:r>
    </w:p>
    <w:p w14:paraId="3214C47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（一）如本规程内容与本届运动会竞赛规程总则或上海市体育局相关规定发生冲突，则以本届运动会总则或上海市体育局规定为准。</w:t>
      </w:r>
    </w:p>
    <w:p w14:paraId="61C0C7D7">
      <w:pPr>
        <w:adjustRightInd w:val="0"/>
        <w:snapToGrid w:val="0"/>
        <w:spacing w:line="540" w:lineRule="exact"/>
        <w:ind w:firstLine="560" w:firstLineChars="200"/>
        <w:rPr>
          <w:rFonts w:ascii="仿宋" w:hAnsi="仿宋" w:eastAsia="仿宋" w:cs="仿宋"/>
          <w:sz w:val="28"/>
          <w:szCs w:val="28"/>
        </w:rPr>
      </w:pPr>
      <w:bookmarkStart w:id="6" w:name="_Hlk162361054"/>
      <w:r>
        <w:rPr>
          <w:rFonts w:hint="eastAsia" w:ascii="仿宋" w:hAnsi="仿宋" w:eastAsia="仿宋" w:cs="仿宋"/>
          <w:sz w:val="28"/>
          <w:szCs w:val="28"/>
        </w:rPr>
        <w:t>（二）参赛单位运动员、教练员应知晓体育竞赛的相关风险，确保自己身体状况符合参赛要求，自</w:t>
      </w:r>
      <w:bookmarkStart w:id="7" w:name="_GoBack"/>
      <w:bookmarkEnd w:id="7"/>
      <w:r>
        <w:rPr>
          <w:rFonts w:hint="eastAsia" w:ascii="仿宋" w:hAnsi="仿宋" w:eastAsia="仿宋" w:cs="仿宋"/>
          <w:sz w:val="28"/>
          <w:szCs w:val="28"/>
        </w:rPr>
        <w:t>行承担非承办单位故意或重大过失导致的伤害。</w:t>
      </w:r>
      <w:bookmarkEnd w:id="6"/>
    </w:p>
    <w:p w14:paraId="3BBF641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（三）未尽事宜，另行通知。</w:t>
      </w:r>
    </w:p>
    <w:p w14:paraId="386E954D">
      <w:pPr>
        <w:spacing w:line="540" w:lineRule="exact"/>
        <w:rPr>
          <w:rFonts w:ascii="仿宋" w:hAnsi="仿宋" w:eastAsia="仿宋" w:cs="仿宋"/>
        </w:rPr>
      </w:pPr>
    </w:p>
    <w:sectPr>
      <w:footerReference r:id="rId3" w:type="default"/>
      <w:footnotePr>
        <w:numRestart w:val="eachPage"/>
      </w:footnotePr>
      <w:type w:val="continuous"/>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C32C6">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footnotePr>
    <w:numRestart w:val="eachPage"/>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78A"/>
    <w:rsid w:val="002A225D"/>
    <w:rsid w:val="0038156C"/>
    <w:rsid w:val="00431B88"/>
    <w:rsid w:val="0044278A"/>
    <w:rsid w:val="004E07DD"/>
    <w:rsid w:val="00607D0B"/>
    <w:rsid w:val="00A40358"/>
    <w:rsid w:val="00A73759"/>
    <w:rsid w:val="00A90091"/>
    <w:rsid w:val="00B01952"/>
    <w:rsid w:val="00F14ED8"/>
    <w:rsid w:val="00F16E78"/>
    <w:rsid w:val="00F52FCA"/>
    <w:rsid w:val="00F93AA1"/>
    <w:rsid w:val="01776129"/>
    <w:rsid w:val="02117EE8"/>
    <w:rsid w:val="037E2237"/>
    <w:rsid w:val="06EC66E0"/>
    <w:rsid w:val="07025650"/>
    <w:rsid w:val="072F4685"/>
    <w:rsid w:val="0776344D"/>
    <w:rsid w:val="0A0D32E8"/>
    <w:rsid w:val="0A2A7C4B"/>
    <w:rsid w:val="0CA14C28"/>
    <w:rsid w:val="0D5744A5"/>
    <w:rsid w:val="0D816ABC"/>
    <w:rsid w:val="0DEF4C9B"/>
    <w:rsid w:val="0DFF319D"/>
    <w:rsid w:val="1053332C"/>
    <w:rsid w:val="113D0232"/>
    <w:rsid w:val="122D52DF"/>
    <w:rsid w:val="131429C2"/>
    <w:rsid w:val="14D013EF"/>
    <w:rsid w:val="1559328D"/>
    <w:rsid w:val="15DF7B3C"/>
    <w:rsid w:val="16225C7A"/>
    <w:rsid w:val="16550B44"/>
    <w:rsid w:val="1674297A"/>
    <w:rsid w:val="18921744"/>
    <w:rsid w:val="18C84871"/>
    <w:rsid w:val="18F57676"/>
    <w:rsid w:val="18F97167"/>
    <w:rsid w:val="19A74E14"/>
    <w:rsid w:val="1AA5308B"/>
    <w:rsid w:val="1D525097"/>
    <w:rsid w:val="1D862F93"/>
    <w:rsid w:val="1EBB1FE9"/>
    <w:rsid w:val="1FF24910"/>
    <w:rsid w:val="20B70842"/>
    <w:rsid w:val="212C7A30"/>
    <w:rsid w:val="22CA740F"/>
    <w:rsid w:val="232170C4"/>
    <w:rsid w:val="24243D2C"/>
    <w:rsid w:val="24D27727"/>
    <w:rsid w:val="254F7349"/>
    <w:rsid w:val="25706A02"/>
    <w:rsid w:val="25F82554"/>
    <w:rsid w:val="2665167D"/>
    <w:rsid w:val="27062818"/>
    <w:rsid w:val="28433F5A"/>
    <w:rsid w:val="28926C90"/>
    <w:rsid w:val="291807B8"/>
    <w:rsid w:val="294373D8"/>
    <w:rsid w:val="2AC97C2B"/>
    <w:rsid w:val="2B142443"/>
    <w:rsid w:val="2B4A3852"/>
    <w:rsid w:val="2CB91EF0"/>
    <w:rsid w:val="2DA717B3"/>
    <w:rsid w:val="2DC518B5"/>
    <w:rsid w:val="2E0A52EF"/>
    <w:rsid w:val="2EFF6701"/>
    <w:rsid w:val="30170B3A"/>
    <w:rsid w:val="31215055"/>
    <w:rsid w:val="327B2EC6"/>
    <w:rsid w:val="327F0285"/>
    <w:rsid w:val="32F43E33"/>
    <w:rsid w:val="35F04FF6"/>
    <w:rsid w:val="35F85D65"/>
    <w:rsid w:val="367C4ADB"/>
    <w:rsid w:val="36DD2902"/>
    <w:rsid w:val="37246F5F"/>
    <w:rsid w:val="37EF5B71"/>
    <w:rsid w:val="39715595"/>
    <w:rsid w:val="399530D6"/>
    <w:rsid w:val="39DE0ACB"/>
    <w:rsid w:val="3AA15CA4"/>
    <w:rsid w:val="3B8406BA"/>
    <w:rsid w:val="3D936ADA"/>
    <w:rsid w:val="3DF12C36"/>
    <w:rsid w:val="3F8A0269"/>
    <w:rsid w:val="40354679"/>
    <w:rsid w:val="41195D48"/>
    <w:rsid w:val="418F600A"/>
    <w:rsid w:val="453C0257"/>
    <w:rsid w:val="45EB469D"/>
    <w:rsid w:val="45F53EFA"/>
    <w:rsid w:val="461A28F8"/>
    <w:rsid w:val="4624731F"/>
    <w:rsid w:val="47354F5E"/>
    <w:rsid w:val="47743CD8"/>
    <w:rsid w:val="48E21116"/>
    <w:rsid w:val="4C3677AE"/>
    <w:rsid w:val="5099030C"/>
    <w:rsid w:val="51A96C39"/>
    <w:rsid w:val="53F1045F"/>
    <w:rsid w:val="55D6790C"/>
    <w:rsid w:val="567C5B8B"/>
    <w:rsid w:val="577E025B"/>
    <w:rsid w:val="58704048"/>
    <w:rsid w:val="59AA5338"/>
    <w:rsid w:val="5AF30F60"/>
    <w:rsid w:val="5CFA4828"/>
    <w:rsid w:val="5D0E4B29"/>
    <w:rsid w:val="5E062D71"/>
    <w:rsid w:val="5F334021"/>
    <w:rsid w:val="601C073C"/>
    <w:rsid w:val="60CE7638"/>
    <w:rsid w:val="615838CB"/>
    <w:rsid w:val="62405E95"/>
    <w:rsid w:val="62596B29"/>
    <w:rsid w:val="62923539"/>
    <w:rsid w:val="631D301E"/>
    <w:rsid w:val="635C55F3"/>
    <w:rsid w:val="642F3009"/>
    <w:rsid w:val="65F77975"/>
    <w:rsid w:val="66115A83"/>
    <w:rsid w:val="675D4C3A"/>
    <w:rsid w:val="68680C6F"/>
    <w:rsid w:val="688D34B2"/>
    <w:rsid w:val="68EA5751"/>
    <w:rsid w:val="691D3F05"/>
    <w:rsid w:val="6AE71EEF"/>
    <w:rsid w:val="6B38025F"/>
    <w:rsid w:val="6B4D1FC7"/>
    <w:rsid w:val="6CCA1E07"/>
    <w:rsid w:val="6D0B284F"/>
    <w:rsid w:val="6D327B7A"/>
    <w:rsid w:val="6D534B40"/>
    <w:rsid w:val="6F0E6834"/>
    <w:rsid w:val="6F7C69BF"/>
    <w:rsid w:val="709B626F"/>
    <w:rsid w:val="71CE6D3E"/>
    <w:rsid w:val="72834520"/>
    <w:rsid w:val="732857F3"/>
    <w:rsid w:val="735C724B"/>
    <w:rsid w:val="75D13F8C"/>
    <w:rsid w:val="77132317"/>
    <w:rsid w:val="7A61783D"/>
    <w:rsid w:val="7B5916E5"/>
    <w:rsid w:val="7C1467F5"/>
    <w:rsid w:val="7C4D0079"/>
    <w:rsid w:val="7D0F2952"/>
    <w:rsid w:val="7E3E236F"/>
    <w:rsid w:val="7E4C4D16"/>
    <w:rsid w:val="7EA6768C"/>
    <w:rsid w:val="7ED47E20"/>
    <w:rsid w:val="7F4374B5"/>
    <w:rsid w:val="7F5434CC"/>
    <w:rsid w:val="7F9D1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35"/>
    <w:rPr>
      <w:rFonts w:ascii="Cambria" w:hAnsi="Cambria" w:eastAsia="黑体" w:cs="宋体"/>
      <w:sz w:val="20"/>
      <w:szCs w:val="20"/>
    </w:rPr>
  </w:style>
  <w:style w:type="paragraph" w:styleId="3">
    <w:name w:val="annotation text"/>
    <w:basedOn w:val="1"/>
    <w:link w:val="20"/>
    <w:qFormat/>
    <w:uiPriority w:val="99"/>
    <w:pPr>
      <w:jc w:val="left"/>
    </w:pPr>
  </w:style>
  <w:style w:type="paragraph" w:styleId="4">
    <w:name w:val="endnote text"/>
    <w:basedOn w:val="1"/>
    <w:link w:val="23"/>
    <w:qFormat/>
    <w:uiPriority w:val="99"/>
    <w:pPr>
      <w:snapToGrid w:val="0"/>
      <w:jc w:val="left"/>
    </w:pPr>
  </w:style>
  <w:style w:type="paragraph" w:styleId="5">
    <w:name w:val="Balloon Text"/>
    <w:basedOn w:val="1"/>
    <w:link w:val="19"/>
    <w:qFormat/>
    <w:uiPriority w:val="99"/>
    <w:rPr>
      <w:sz w:val="18"/>
      <w:szCs w:val="18"/>
    </w:rPr>
  </w:style>
  <w:style w:type="paragraph" w:styleId="6">
    <w:name w:val="footer"/>
    <w:basedOn w:val="1"/>
    <w:link w:val="17"/>
    <w:qFormat/>
    <w:uiPriority w:val="99"/>
    <w:pPr>
      <w:tabs>
        <w:tab w:val="center" w:pos="4153"/>
        <w:tab w:val="right" w:pos="8306"/>
      </w:tabs>
      <w:snapToGrid w:val="0"/>
      <w:jc w:val="left"/>
    </w:pPr>
    <w:rPr>
      <w:sz w:val="18"/>
      <w:szCs w:val="18"/>
    </w:rPr>
  </w:style>
  <w:style w:type="paragraph" w:styleId="7">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22"/>
    <w:qFormat/>
    <w:uiPriority w:val="99"/>
    <w:pPr>
      <w:snapToGrid w:val="0"/>
      <w:jc w:val="left"/>
    </w:pPr>
    <w:rPr>
      <w:sz w:val="18"/>
      <w:szCs w:val="18"/>
    </w:rPr>
  </w:style>
  <w:style w:type="paragraph" w:styleId="9">
    <w:name w:val="annotation subject"/>
    <w:basedOn w:val="3"/>
    <w:next w:val="3"/>
    <w:link w:val="21"/>
    <w:qFormat/>
    <w:uiPriority w:val="99"/>
    <w:rPr>
      <w:b/>
      <w:bCs/>
    </w:rPr>
  </w:style>
  <w:style w:type="character" w:styleId="12">
    <w:name w:val="endnote reference"/>
    <w:basedOn w:val="11"/>
    <w:qFormat/>
    <w:uiPriority w:val="99"/>
    <w:rPr>
      <w:vertAlign w:val="superscript"/>
    </w:rPr>
  </w:style>
  <w:style w:type="character" w:styleId="13">
    <w:name w:val="Hyperlink"/>
    <w:basedOn w:val="11"/>
    <w:qFormat/>
    <w:uiPriority w:val="99"/>
    <w:rPr>
      <w:color w:val="0000FF"/>
      <w:u w:val="single"/>
    </w:rPr>
  </w:style>
  <w:style w:type="character" w:styleId="14">
    <w:name w:val="annotation reference"/>
    <w:basedOn w:val="11"/>
    <w:qFormat/>
    <w:uiPriority w:val="99"/>
    <w:rPr>
      <w:sz w:val="21"/>
      <w:szCs w:val="21"/>
    </w:rPr>
  </w:style>
  <w:style w:type="character" w:styleId="15">
    <w:name w:val="footnote reference"/>
    <w:basedOn w:val="11"/>
    <w:qFormat/>
    <w:uiPriority w:val="99"/>
    <w:rPr>
      <w:vertAlign w:val="superscript"/>
    </w:rPr>
  </w:style>
  <w:style w:type="character" w:customStyle="1" w:styleId="16">
    <w:name w:val="页眉 字符"/>
    <w:basedOn w:val="11"/>
    <w:link w:val="7"/>
    <w:qFormat/>
    <w:uiPriority w:val="99"/>
    <w:rPr>
      <w:rFonts w:ascii="Calibri" w:hAnsi="Calibri" w:eastAsia="宋体" w:cs="Times New Roman"/>
      <w:sz w:val="18"/>
      <w:szCs w:val="18"/>
    </w:rPr>
  </w:style>
  <w:style w:type="character" w:customStyle="1" w:styleId="17">
    <w:name w:val="页脚 字符"/>
    <w:basedOn w:val="11"/>
    <w:link w:val="6"/>
    <w:qFormat/>
    <w:uiPriority w:val="99"/>
    <w:rPr>
      <w:rFonts w:ascii="Calibri" w:hAnsi="Calibri" w:eastAsia="宋体" w:cs="Times New Roman"/>
      <w:sz w:val="18"/>
      <w:szCs w:val="18"/>
    </w:rPr>
  </w:style>
  <w:style w:type="paragraph" w:styleId="18">
    <w:name w:val="List Paragraph"/>
    <w:basedOn w:val="1"/>
    <w:qFormat/>
    <w:uiPriority w:val="34"/>
    <w:pPr>
      <w:ind w:firstLine="420" w:firstLineChars="200"/>
    </w:pPr>
  </w:style>
  <w:style w:type="character" w:customStyle="1" w:styleId="19">
    <w:name w:val="批注框文本 字符"/>
    <w:basedOn w:val="11"/>
    <w:link w:val="5"/>
    <w:qFormat/>
    <w:uiPriority w:val="99"/>
    <w:rPr>
      <w:rFonts w:ascii="Calibri" w:hAnsi="Calibri" w:eastAsia="宋体" w:cs="Times New Roman"/>
      <w:kern w:val="2"/>
      <w:sz w:val="18"/>
      <w:szCs w:val="18"/>
    </w:rPr>
  </w:style>
  <w:style w:type="character" w:customStyle="1" w:styleId="20">
    <w:name w:val="批注文字 字符"/>
    <w:basedOn w:val="11"/>
    <w:link w:val="3"/>
    <w:qFormat/>
    <w:uiPriority w:val="99"/>
    <w:rPr>
      <w:rFonts w:ascii="Calibri" w:hAnsi="Calibri" w:eastAsia="宋体" w:cs="Times New Roman"/>
      <w:kern w:val="2"/>
      <w:sz w:val="21"/>
      <w:szCs w:val="24"/>
    </w:rPr>
  </w:style>
  <w:style w:type="character" w:customStyle="1" w:styleId="21">
    <w:name w:val="批注主题 字符"/>
    <w:basedOn w:val="20"/>
    <w:link w:val="9"/>
    <w:qFormat/>
    <w:uiPriority w:val="0"/>
    <w:rPr>
      <w:rFonts w:ascii="Calibri" w:hAnsi="Calibri" w:eastAsia="宋体" w:cs="Times New Roman"/>
      <w:kern w:val="2"/>
      <w:sz w:val="21"/>
      <w:szCs w:val="24"/>
    </w:rPr>
  </w:style>
  <w:style w:type="character" w:customStyle="1" w:styleId="22">
    <w:name w:val="脚注文本 字符"/>
    <w:basedOn w:val="11"/>
    <w:link w:val="8"/>
    <w:qFormat/>
    <w:uiPriority w:val="99"/>
    <w:rPr>
      <w:rFonts w:ascii="Calibri" w:hAnsi="Calibri" w:eastAsia="宋体" w:cs="Times New Roman"/>
      <w:kern w:val="2"/>
      <w:sz w:val="18"/>
      <w:szCs w:val="18"/>
    </w:rPr>
  </w:style>
  <w:style w:type="character" w:customStyle="1" w:styleId="23">
    <w:name w:val="尾注文本 字符"/>
    <w:basedOn w:val="11"/>
    <w:link w:val="4"/>
    <w:qFormat/>
    <w:uiPriority w:val="99"/>
    <w:rPr>
      <w:rFonts w:ascii="Calibri" w:hAnsi="Calibri" w:eastAsia="宋体" w:cs="Times New Roman"/>
      <w:kern w:val="2"/>
      <w:sz w:val="21"/>
      <w:szCs w:val="24"/>
    </w:rPr>
  </w:style>
  <w:style w:type="paragraph" w:customStyle="1" w:styleId="24">
    <w:name w:val="Table Text"/>
    <w:basedOn w:val="1"/>
    <w:semiHidden/>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通过公</b:Tag>
    <b:SourceType>Book</b:SourceType>
    <b:Guid>{82C0E58A-A785-48EF-9EC2-E60ACD13410E}</b:Guid>
    <b:Author>
      <b:Author>
        <b:NameList>
          <b:Person>
            <b:Last>通过公开申办，受主办方直接委托或管辖，直接参与赛事执行</b:Last>
          </b:Person>
        </b:NameList>
      </b:Author>
    </b:Author>
    <b:RefOrder>2</b:RefOrder>
  </b:Source>
  <b:Source>
    <b:Tag>通过公1</b:Tag>
    <b:SourceType>Book</b:SourceType>
    <b:Guid>{6737C864-A0B9-4D0D-904E-A66A7D59E19E}</b:Guid>
    <b:Author>
      <b:Author>
        <b:NameList>
          <b:Person>
            <b:Last>通过公开申办，受主办方直接委托或管辖，直接参与赛事执行</b:Last>
          </b:Person>
        </b:NameList>
      </b:Author>
    </b:Author>
    <b:RefOrder>1</b:RefOrder>
  </b:Source>
</b:Sources>
</file>

<file path=customXml/item2.xml><?xml version="1.0" encoding="utf-8"?>
<contractReview xmlns="http://schemas.wps.cn/vas-ai-hub/contract-review">
  <reviewItems>
    <reviewItem>
      <errorID>7289559d-0dfe-4740-8ca2-31de020ac6ee</errorID>
      <errorWord>(</errorWord>
      <group>L1_Format</group>
      <groupName>格式问题</groupName>
      <ability>L2_HalfPunc</ability>
      <abilityName>全半角检查</abilityName>
      <candidateList>
        <item>（</item>
      </candidateList>
      <explain>文本全半角错误。</explain>
      <paraID>2D1CFD2D</paraID>
      <start>6</start>
      <end>7</end>
      <status>unmodified</status>
      <modifiedWord/>
      <trackRevisions>false</trackRevisions>
    </reviewItem>
    <reviewItem>
      <errorID>7564726c-8a88-46fd-af50-caf8070306a5</errorID>
      <errorWord>)</errorWord>
      <group>L1_Format</group>
      <groupName>格式问题</groupName>
      <ability>L2_HalfPunc</ability>
      <abilityName>全半角检查</abilityName>
      <candidateList>
        <item>）</item>
      </candidateList>
      <explain>文本全半角错误。</explain>
      <paraID>2D1CFD2D</paraID>
      <start>11</start>
      <end>12</end>
      <status>unmodified</status>
      <modifiedWord/>
      <trackRevisions>false</trackRevisions>
    </reviewItem>
    <reviewItem>
      <errorID>a93905b0-75f3-44e3-9dab-fcb593d0a656</errorID>
      <errorWord>(</errorWord>
      <group>L1_Format</group>
      <groupName>格式问题</groupName>
      <ability>L2_HalfPunc</ability>
      <abilityName>全半角检查</abilityName>
      <candidateList>
        <item>（</item>
      </candidateList>
      <explain>文本全半角错误。</explain>
      <paraID> D779A79</paraID>
      <start>16</start>
      <end>17</end>
      <status>unmodified</status>
      <modifiedWord/>
      <trackRevisions>false</trackRevisions>
    </reviewItem>
    <reviewItem>
      <errorID>9190d1fa-682b-41e9-8948-12d0c2d6750b</errorID>
      <errorWord>)</errorWord>
      <group>L1_Format</group>
      <groupName>格式问题</groupName>
      <ability>L2_HalfPunc</ability>
      <abilityName>全半角检查</abilityName>
      <candidateList>
        <item>）</item>
      </candidateList>
      <explain>文本全半角错误。</explain>
      <paraID> D779A79</paraID>
      <start>22</start>
      <end>23</end>
      <status>unmodified</status>
      <modifiedWord/>
      <trackRevisions>false</trackRevisions>
    </reviewItem>
    <reviewItem>
      <errorID>99ddfa85-af39-4d0f-9b1e-7cf9f385a50e</errorID>
      <errorWord>)</errorWord>
      <group>L1_Format</group>
      <groupName>格式问题</groupName>
      <ability>L2_HalfPunc</ability>
      <abilityName>全半角检查</abilityName>
      <candidateList>
        <item>）</item>
      </candidateList>
      <explain>文本全半角错误。</explain>
      <paraID>6ECD71AF</paraID>
      <start>6</start>
      <end>7</end>
      <status>unmodified</status>
      <modifiedWord/>
      <trackRevisions>false</trackRevisions>
    </reviewItem>
  </reviewItems>
  <config/>
</contractReview>
</file>

<file path=customXml/itemProps1.xml><?xml version="1.0" encoding="utf-8"?>
<ds:datastoreItem xmlns:ds="http://schemas.openxmlformats.org/officeDocument/2006/customXml" ds:itemID="{625654C5-9F47-415F-B547-D9502E78804C}">
  <ds:schemaRefs/>
</ds:datastoreItem>
</file>

<file path=customXml/itemProps2.xml><?xml version="1.0" encoding="utf-8"?>
<ds:datastoreItem xmlns:ds="http://schemas.openxmlformats.org/officeDocument/2006/customXml" ds:itemID="{33F61D48-2B8E-4958-8BFA-8A2501A1CF9E}">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10</Pages>
  <Words>4444</Words>
  <Characters>4664</Characters>
  <Lines>34</Lines>
  <Paragraphs>9</Paragraphs>
  <TotalTime>8</TotalTime>
  <ScaleCrop>false</ScaleCrop>
  <LinksUpToDate>false</LinksUpToDate>
  <CharactersWithSpaces>4676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2022-01-21T06:02:00Z</dcterms:created>
  <dc:creator>微软中国</dc:creator>
  <cp:lastModifiedBy>Xiangyou</cp:lastModifiedBy>
  <cp:lastPrinted>2025-12-17T07:37:00Z</cp:lastPrinted>
  <dcterms:modified xsi:type="dcterms:W3CDTF">2026-05-07T07:43:15Z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21C4E6F3099E4BB493FE5A6DD39F244C_13</vt:lpwstr>
  </property>
  <property fmtid="{D5CDD505-2E9C-101B-9397-08002B2CF9AE}" pid="4" name="KSOTemplateDocerSaveRecord">
    <vt:lpwstr>eyJoZGlkIjoiNjA2NmNjZDM3NzUzZGJhY2I3OTc1NzBkNDI5NDdhNTkiLCJ1c2VySWQiOiIxNDQ2MzUxODYzIn0=</vt:lpwstr>
  </property>
</Properties>
</file>