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EC4D6B">
      <w:pPr>
        <w:adjustRightInd w:val="0"/>
        <w:snapToGrid w:val="0"/>
        <w:spacing w:line="540" w:lineRule="exact"/>
        <w:jc w:val="center"/>
        <w:rPr>
          <w:rFonts w:ascii="宋体" w:hAnsi="宋体" w:cs="宋体"/>
          <w:b/>
          <w:bCs/>
          <w:sz w:val="36"/>
          <w:szCs w:val="36"/>
        </w:rPr>
      </w:pPr>
      <w:r>
        <w:rPr>
          <w:rFonts w:hint="eastAsia" w:ascii="宋体" w:hAnsi="宋体" w:cs="宋体"/>
          <w:b/>
          <w:bCs/>
          <w:sz w:val="36"/>
          <w:szCs w:val="36"/>
        </w:rPr>
        <w:t>上海市第十八届运动会壁球比赛（青少年组）</w:t>
      </w:r>
    </w:p>
    <w:p w14:paraId="3E62A443">
      <w:pPr>
        <w:snapToGrid w:val="0"/>
        <w:spacing w:line="540" w:lineRule="exact"/>
        <w:jc w:val="center"/>
        <w:rPr>
          <w:rFonts w:ascii="宋体" w:hAnsi="宋体" w:cs="宋体"/>
          <w:b/>
          <w:bCs/>
          <w:sz w:val="36"/>
          <w:szCs w:val="36"/>
        </w:rPr>
      </w:pPr>
      <w:r>
        <w:rPr>
          <w:rFonts w:hint="eastAsia" w:ascii="宋体" w:hAnsi="宋体" w:cs="宋体"/>
          <w:b/>
          <w:bCs/>
          <w:sz w:val="36"/>
          <w:szCs w:val="36"/>
        </w:rPr>
        <w:t>竞赛规程</w:t>
      </w:r>
    </w:p>
    <w:p w14:paraId="04E86CB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一、主办单位：</w:t>
      </w:r>
      <w:r>
        <w:rPr>
          <w:rFonts w:hint="eastAsia" w:ascii="仿宋" w:hAnsi="仿宋" w:eastAsia="仿宋" w:cs="仿宋"/>
          <w:sz w:val="28"/>
          <w:szCs w:val="28"/>
        </w:rPr>
        <w:t>上海市体育局、上海市教育委员会</w:t>
      </w:r>
    </w:p>
    <w:p w14:paraId="639E5867">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二、承办单位：</w:t>
      </w:r>
      <w:r>
        <w:rPr>
          <w:rFonts w:hint="eastAsia" w:ascii="仿宋" w:hAnsi="仿宋" w:eastAsia="仿宋" w:cs="仿宋"/>
          <w:sz w:val="28"/>
          <w:szCs w:val="28"/>
        </w:rPr>
        <w:t>上海市长宁区体育局、上海市壁球协会</w:t>
      </w:r>
    </w:p>
    <w:p w14:paraId="55AEC333">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三、协办单位：</w:t>
      </w:r>
      <w:r>
        <w:rPr>
          <w:rFonts w:hint="eastAsia" w:ascii="仿宋" w:hAnsi="仿宋" w:eastAsia="仿宋" w:cs="仿宋"/>
          <w:sz w:val="28"/>
          <w:szCs w:val="28"/>
        </w:rPr>
        <w:t>上海市长宁区青少年业余体育学校</w:t>
      </w:r>
    </w:p>
    <w:p w14:paraId="70D9CBFA">
      <w:pPr>
        <w:adjustRightInd w:val="0"/>
        <w:snapToGrid w:val="0"/>
        <w:spacing w:line="540" w:lineRule="exact"/>
        <w:ind w:firstLine="2520" w:firstLineChars="900"/>
        <w:rPr>
          <w:rFonts w:ascii="仿宋" w:hAnsi="仿宋" w:eastAsia="仿宋" w:cs="仿宋"/>
          <w:sz w:val="28"/>
          <w:szCs w:val="28"/>
        </w:rPr>
      </w:pPr>
      <w:r>
        <w:rPr>
          <w:rFonts w:hint="eastAsia" w:ascii="仿宋" w:hAnsi="仿宋" w:eastAsia="仿宋" w:cs="仿宋"/>
          <w:sz w:val="28"/>
          <w:szCs w:val="28"/>
        </w:rPr>
        <w:t>上海迪亚蒙体育发展有限公司</w:t>
      </w:r>
    </w:p>
    <w:p w14:paraId="6E7331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sz w:val="28"/>
          <w:szCs w:val="28"/>
        </w:rPr>
        <w:t>四、竞赛日期：</w:t>
      </w:r>
      <w:r>
        <w:rPr>
          <w:rFonts w:hint="eastAsia" w:ascii="仿宋" w:hAnsi="仿宋" w:eastAsia="仿宋" w:cs="仿宋"/>
          <w:sz w:val="28"/>
          <w:szCs w:val="28"/>
        </w:rPr>
        <w:t>2026年</w:t>
      </w:r>
      <w:r>
        <w:rPr>
          <w:rFonts w:ascii="仿宋" w:hAnsi="仿宋" w:eastAsia="仿宋" w:cs="仿宋"/>
          <w:sz w:val="28"/>
          <w:szCs w:val="28"/>
        </w:rPr>
        <w:t>9</w:t>
      </w:r>
      <w:r>
        <w:rPr>
          <w:rFonts w:hint="eastAsia" w:ascii="仿宋" w:hAnsi="仿宋" w:eastAsia="仿宋" w:cs="仿宋"/>
          <w:sz w:val="28"/>
          <w:szCs w:val="28"/>
        </w:rPr>
        <w:t>月5</w:t>
      </w:r>
      <w:r>
        <w:rPr>
          <w:rFonts w:ascii="仿宋" w:hAnsi="仿宋" w:eastAsia="仿宋" w:cs="仿宋"/>
          <w:sz w:val="28"/>
          <w:szCs w:val="28"/>
        </w:rPr>
        <w:t>-6</w:t>
      </w:r>
      <w:r>
        <w:rPr>
          <w:rFonts w:hint="eastAsia" w:ascii="仿宋" w:hAnsi="仿宋" w:eastAsia="仿宋" w:cs="仿宋"/>
          <w:sz w:val="28"/>
          <w:szCs w:val="28"/>
        </w:rPr>
        <w:t>日</w:t>
      </w:r>
    </w:p>
    <w:p w14:paraId="2D38AEFD">
      <w:pPr>
        <w:adjustRightInd w:val="0"/>
        <w:snapToGrid w:val="0"/>
        <w:spacing w:line="540" w:lineRule="exact"/>
        <w:ind w:firstLine="562" w:firstLineChars="200"/>
        <w:rPr>
          <w:rFonts w:ascii="仿宋" w:hAnsi="仿宋" w:eastAsia="仿宋" w:cs="仿宋"/>
          <w:w w:val="90"/>
          <w:sz w:val="28"/>
          <w:szCs w:val="28"/>
        </w:rPr>
      </w:pPr>
      <w:r>
        <w:rPr>
          <w:rFonts w:hint="eastAsia" w:ascii="仿宋" w:hAnsi="仿宋" w:eastAsia="仿宋" w:cs="仿宋"/>
          <w:b/>
          <w:sz w:val="28"/>
          <w:szCs w:val="28"/>
        </w:rPr>
        <w:t>五、竞赛地点：</w:t>
      </w:r>
      <w:r>
        <w:rPr>
          <w:rFonts w:hint="eastAsia" w:ascii="仿宋" w:hAnsi="仿宋" w:eastAsia="仿宋" w:cs="仿宋"/>
          <w:w w:val="90"/>
          <w:sz w:val="28"/>
          <w:szCs w:val="28"/>
        </w:rPr>
        <w:t>上海克拉壁球俱乐部（上海市长宁区兴义路9</w:t>
      </w:r>
      <w:r>
        <w:rPr>
          <w:rFonts w:ascii="仿宋" w:hAnsi="仿宋" w:eastAsia="仿宋" w:cs="仿宋"/>
          <w:w w:val="90"/>
          <w:sz w:val="28"/>
          <w:szCs w:val="28"/>
        </w:rPr>
        <w:t>9</w:t>
      </w:r>
      <w:r>
        <w:rPr>
          <w:rFonts w:hint="eastAsia" w:ascii="仿宋" w:hAnsi="仿宋" w:eastAsia="仿宋" w:cs="仿宋"/>
          <w:w w:val="90"/>
          <w:sz w:val="28"/>
          <w:szCs w:val="28"/>
        </w:rPr>
        <w:t>号）</w:t>
      </w:r>
    </w:p>
    <w:p w14:paraId="729DDC00">
      <w:pPr>
        <w:adjustRightInd w:val="0"/>
        <w:snapToGrid w:val="0"/>
        <w:spacing w:line="540" w:lineRule="exact"/>
        <w:ind w:firstLine="562" w:firstLineChars="200"/>
        <w:rPr>
          <w:rFonts w:ascii="仿宋" w:hAnsi="仿宋" w:eastAsia="仿宋" w:cs="仿宋"/>
          <w:sz w:val="28"/>
          <w:szCs w:val="28"/>
        </w:rPr>
      </w:pPr>
      <w:r>
        <w:rPr>
          <w:rFonts w:hint="eastAsia" w:ascii="仿宋" w:hAnsi="仿宋" w:eastAsia="仿宋" w:cs="仿宋"/>
          <w:b/>
          <w:bCs/>
          <w:sz w:val="28"/>
          <w:szCs w:val="28"/>
        </w:rPr>
        <w:t>六、参赛单位</w:t>
      </w:r>
      <w:r>
        <w:rPr>
          <w:rFonts w:hint="eastAsia" w:ascii="仿宋" w:hAnsi="仿宋" w:eastAsia="仿宋" w:cs="仿宋"/>
          <w:sz w:val="28"/>
          <w:szCs w:val="28"/>
        </w:rPr>
        <w:t>：本市各区</w:t>
      </w:r>
    </w:p>
    <w:p w14:paraId="2D0DDFC4">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七、年龄组别和小项设置</w:t>
      </w:r>
    </w:p>
    <w:tbl>
      <w:tblPr>
        <w:tblStyle w:val="10"/>
        <w:tblW w:w="804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72"/>
        <w:gridCol w:w="1833"/>
        <w:gridCol w:w="840"/>
        <w:gridCol w:w="2212"/>
        <w:gridCol w:w="2283"/>
      </w:tblGrid>
      <w:tr w14:paraId="020F0E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872" w:type="dxa"/>
            <w:tcBorders>
              <w:top w:val="single" w:color="000000" w:sz="6" w:space="0"/>
              <w:left w:val="single" w:color="000000" w:sz="6" w:space="0"/>
              <w:bottom w:val="single" w:color="000000" w:sz="6" w:space="0"/>
              <w:right w:val="single" w:color="000000" w:sz="6" w:space="0"/>
            </w:tcBorders>
            <w:vAlign w:val="center"/>
          </w:tcPr>
          <w:p w14:paraId="084E2E1C">
            <w:pPr>
              <w:ind w:left="9"/>
              <w:jc w:val="center"/>
              <w:rPr>
                <w:rFonts w:ascii="仿宋" w:hAnsi="仿宋" w:eastAsia="仿宋" w:cs="仿宋"/>
                <w:szCs w:val="21"/>
              </w:rPr>
            </w:pPr>
            <w:r>
              <w:rPr>
                <w:rFonts w:hint="eastAsia" w:ascii="仿宋" w:hAnsi="仿宋" w:eastAsia="仿宋" w:cs="仿宋"/>
                <w:b/>
                <w:bCs/>
                <w:szCs w:val="21"/>
              </w:rPr>
              <w:t>组别</w:t>
            </w:r>
          </w:p>
        </w:tc>
        <w:tc>
          <w:tcPr>
            <w:tcW w:w="1833" w:type="dxa"/>
            <w:tcBorders>
              <w:top w:val="single" w:color="000000" w:sz="6" w:space="0"/>
              <w:left w:val="single" w:color="000000" w:sz="6" w:space="0"/>
              <w:bottom w:val="single" w:color="000000" w:sz="6" w:space="0"/>
              <w:right w:val="single" w:color="000000" w:sz="6" w:space="0"/>
            </w:tcBorders>
            <w:vAlign w:val="center"/>
          </w:tcPr>
          <w:p w14:paraId="3A4B9BB9">
            <w:pPr>
              <w:ind w:left="23"/>
              <w:jc w:val="center"/>
              <w:rPr>
                <w:rFonts w:ascii="仿宋" w:hAnsi="仿宋" w:eastAsia="仿宋" w:cs="仿宋"/>
                <w:szCs w:val="21"/>
              </w:rPr>
            </w:pPr>
            <w:r>
              <w:rPr>
                <w:rFonts w:hint="eastAsia" w:ascii="仿宋" w:hAnsi="仿宋" w:eastAsia="仿宋" w:cs="仿宋"/>
                <w:b/>
                <w:bCs/>
                <w:szCs w:val="21"/>
              </w:rPr>
              <w:t>年龄段</w:t>
            </w:r>
          </w:p>
        </w:tc>
        <w:tc>
          <w:tcPr>
            <w:tcW w:w="840" w:type="dxa"/>
            <w:tcBorders>
              <w:top w:val="single" w:color="000000" w:sz="6" w:space="0"/>
              <w:left w:val="single" w:color="000000" w:sz="6" w:space="0"/>
              <w:bottom w:val="single" w:color="000000" w:sz="6" w:space="0"/>
              <w:right w:val="single" w:color="000000" w:sz="6" w:space="0"/>
            </w:tcBorders>
            <w:vAlign w:val="center"/>
          </w:tcPr>
          <w:p w14:paraId="01A1E0DA">
            <w:pPr>
              <w:ind w:left="49"/>
              <w:jc w:val="center"/>
              <w:rPr>
                <w:rFonts w:ascii="仿宋" w:hAnsi="仿宋" w:eastAsia="仿宋" w:cs="仿宋"/>
                <w:szCs w:val="21"/>
              </w:rPr>
            </w:pPr>
            <w:r>
              <w:rPr>
                <w:rFonts w:hint="eastAsia" w:ascii="仿宋" w:hAnsi="仿宋" w:eastAsia="仿宋" w:cs="仿宋"/>
                <w:b/>
                <w:bCs/>
                <w:szCs w:val="21"/>
              </w:rPr>
              <w:t>设项数</w:t>
            </w:r>
          </w:p>
        </w:tc>
        <w:tc>
          <w:tcPr>
            <w:tcW w:w="2212" w:type="dxa"/>
            <w:tcBorders>
              <w:top w:val="single" w:color="000000" w:sz="6" w:space="0"/>
              <w:left w:val="single" w:color="000000" w:sz="6" w:space="0"/>
              <w:bottom w:val="single" w:color="000000" w:sz="6" w:space="0"/>
              <w:right w:val="single" w:color="000000" w:sz="6" w:space="0"/>
            </w:tcBorders>
            <w:vAlign w:val="center"/>
          </w:tcPr>
          <w:p w14:paraId="3A3BBA1A">
            <w:pPr>
              <w:ind w:left="9"/>
              <w:jc w:val="center"/>
              <w:rPr>
                <w:rFonts w:ascii="仿宋" w:hAnsi="仿宋" w:eastAsia="仿宋" w:cs="仿宋"/>
                <w:b/>
                <w:bCs/>
                <w:szCs w:val="21"/>
              </w:rPr>
            </w:pPr>
            <w:r>
              <w:rPr>
                <w:rFonts w:hint="eastAsia" w:ascii="仿宋" w:hAnsi="仿宋" w:eastAsia="仿宋" w:cs="仿宋"/>
                <w:b/>
                <w:bCs/>
                <w:szCs w:val="21"/>
              </w:rPr>
              <w:t>男子</w:t>
            </w:r>
          </w:p>
        </w:tc>
        <w:tc>
          <w:tcPr>
            <w:tcW w:w="2283" w:type="dxa"/>
            <w:tcBorders>
              <w:top w:val="single" w:color="000000" w:sz="6" w:space="0"/>
              <w:left w:val="single" w:color="000000" w:sz="6" w:space="0"/>
              <w:bottom w:val="single" w:color="000000" w:sz="6" w:space="0"/>
              <w:right w:val="single" w:color="000000" w:sz="6" w:space="0"/>
            </w:tcBorders>
            <w:vAlign w:val="center"/>
          </w:tcPr>
          <w:p w14:paraId="205F460C">
            <w:pPr>
              <w:ind w:left="9"/>
              <w:jc w:val="center"/>
              <w:rPr>
                <w:rFonts w:ascii="仿宋" w:hAnsi="仿宋" w:eastAsia="仿宋" w:cs="仿宋"/>
                <w:b/>
                <w:bCs/>
                <w:szCs w:val="21"/>
              </w:rPr>
            </w:pPr>
            <w:r>
              <w:rPr>
                <w:rFonts w:hint="eastAsia" w:ascii="仿宋" w:hAnsi="仿宋" w:eastAsia="仿宋" w:cs="仿宋"/>
                <w:b/>
                <w:bCs/>
                <w:szCs w:val="21"/>
              </w:rPr>
              <w:t>女子</w:t>
            </w:r>
          </w:p>
        </w:tc>
      </w:tr>
      <w:tr w14:paraId="483F6A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872" w:type="dxa"/>
            <w:tcBorders>
              <w:top w:val="single" w:color="000000" w:sz="6" w:space="0"/>
              <w:left w:val="single" w:color="000000" w:sz="6" w:space="0"/>
              <w:bottom w:val="single" w:color="000000" w:sz="6" w:space="0"/>
              <w:right w:val="single" w:color="000000" w:sz="6" w:space="0"/>
            </w:tcBorders>
            <w:vAlign w:val="center"/>
          </w:tcPr>
          <w:p w14:paraId="681EDFF0">
            <w:pPr>
              <w:ind w:left="9"/>
              <w:jc w:val="center"/>
              <w:rPr>
                <w:rFonts w:ascii="宋体" w:hAnsi="宋体" w:cs="宋体"/>
                <w:spacing w:val="-2"/>
                <w:szCs w:val="21"/>
              </w:rPr>
            </w:pPr>
            <w:r>
              <w:rPr>
                <w:rFonts w:ascii="宋体" w:hAnsi="宋体" w:cs="宋体"/>
                <w:spacing w:val="-2"/>
                <w:szCs w:val="21"/>
              </w:rPr>
              <w:t>A</w:t>
            </w:r>
          </w:p>
        </w:tc>
        <w:tc>
          <w:tcPr>
            <w:tcW w:w="1833" w:type="dxa"/>
            <w:tcBorders>
              <w:top w:val="single" w:color="000000" w:sz="6" w:space="0"/>
              <w:left w:val="single" w:color="000000" w:sz="6" w:space="0"/>
              <w:bottom w:val="single" w:color="000000" w:sz="6" w:space="0"/>
              <w:right w:val="single" w:color="000000" w:sz="6" w:space="0"/>
            </w:tcBorders>
            <w:vAlign w:val="center"/>
          </w:tcPr>
          <w:p w14:paraId="0381DF45">
            <w:pPr>
              <w:ind w:left="23"/>
              <w:jc w:val="center"/>
              <w:rPr>
                <w:rFonts w:ascii="宋体" w:hAnsi="宋体" w:cs="宋体"/>
                <w:spacing w:val="-2"/>
                <w:szCs w:val="21"/>
              </w:rPr>
            </w:pPr>
            <w:r>
              <w:rPr>
                <w:rFonts w:ascii="宋体" w:hAnsi="宋体" w:cs="宋体"/>
                <w:spacing w:val="-2"/>
                <w:szCs w:val="21"/>
              </w:rPr>
              <w:t>12.1.1-14.12.31</w:t>
            </w:r>
          </w:p>
        </w:tc>
        <w:tc>
          <w:tcPr>
            <w:tcW w:w="840" w:type="dxa"/>
            <w:tcBorders>
              <w:top w:val="single" w:color="000000" w:sz="6" w:space="0"/>
              <w:left w:val="single" w:color="000000" w:sz="6" w:space="0"/>
              <w:bottom w:val="single" w:color="000000" w:sz="6" w:space="0"/>
              <w:right w:val="single" w:color="000000" w:sz="6" w:space="0"/>
            </w:tcBorders>
            <w:vAlign w:val="center"/>
          </w:tcPr>
          <w:p w14:paraId="285F0ED1">
            <w:pPr>
              <w:ind w:left="49"/>
              <w:jc w:val="center"/>
              <w:rPr>
                <w:rFonts w:ascii="宋体" w:hAnsi="宋体" w:cs="宋体"/>
                <w:spacing w:val="-2"/>
                <w:szCs w:val="21"/>
              </w:rPr>
            </w:pPr>
            <w:r>
              <w:rPr>
                <w:rFonts w:ascii="宋体" w:hAnsi="宋体" w:cs="宋体"/>
                <w:spacing w:val="-2"/>
                <w:szCs w:val="21"/>
              </w:rPr>
              <w:t>2</w:t>
            </w:r>
          </w:p>
        </w:tc>
        <w:tc>
          <w:tcPr>
            <w:tcW w:w="2212" w:type="dxa"/>
            <w:tcBorders>
              <w:top w:val="single" w:color="000000" w:sz="6" w:space="0"/>
              <w:left w:val="single" w:color="000000" w:sz="6" w:space="0"/>
              <w:bottom w:val="single" w:color="000000" w:sz="6" w:space="0"/>
              <w:right w:val="single" w:color="000000" w:sz="6" w:space="0"/>
            </w:tcBorders>
            <w:vAlign w:val="center"/>
          </w:tcPr>
          <w:p w14:paraId="61C83CF8">
            <w:pPr>
              <w:ind w:left="9"/>
              <w:jc w:val="center"/>
              <w:rPr>
                <w:rFonts w:ascii="宋体" w:hAnsi="宋体" w:cs="宋体"/>
                <w:spacing w:val="-2"/>
                <w:szCs w:val="21"/>
              </w:rPr>
            </w:pPr>
            <w:r>
              <w:rPr>
                <w:rFonts w:hint="eastAsia" w:ascii="宋体" w:hAnsi="宋体" w:cs="宋体"/>
                <w:spacing w:val="-2"/>
                <w:szCs w:val="21"/>
              </w:rPr>
              <w:t>单打</w:t>
            </w:r>
          </w:p>
        </w:tc>
        <w:tc>
          <w:tcPr>
            <w:tcW w:w="2283" w:type="dxa"/>
            <w:tcBorders>
              <w:top w:val="single" w:color="000000" w:sz="6" w:space="0"/>
              <w:left w:val="single" w:color="000000" w:sz="6" w:space="0"/>
              <w:bottom w:val="single" w:color="000000" w:sz="6" w:space="0"/>
              <w:right w:val="single" w:color="000000" w:sz="6" w:space="0"/>
            </w:tcBorders>
            <w:vAlign w:val="center"/>
          </w:tcPr>
          <w:p w14:paraId="59D7D627">
            <w:pPr>
              <w:ind w:left="9"/>
              <w:jc w:val="center"/>
              <w:rPr>
                <w:rFonts w:ascii="宋体" w:hAnsi="宋体" w:cs="宋体"/>
                <w:spacing w:val="-2"/>
                <w:szCs w:val="21"/>
              </w:rPr>
            </w:pPr>
            <w:r>
              <w:rPr>
                <w:rFonts w:hint="eastAsia" w:ascii="宋体" w:hAnsi="宋体" w:cs="宋体"/>
                <w:spacing w:val="-2"/>
                <w:szCs w:val="21"/>
              </w:rPr>
              <w:t>单打</w:t>
            </w:r>
          </w:p>
        </w:tc>
      </w:tr>
      <w:tr w14:paraId="700FC0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70" w:hRule="atLeast"/>
          <w:jc w:val="center"/>
        </w:trPr>
        <w:tc>
          <w:tcPr>
            <w:tcW w:w="872" w:type="dxa"/>
            <w:tcBorders>
              <w:top w:val="single" w:color="000000" w:sz="6" w:space="0"/>
              <w:left w:val="single" w:color="000000" w:sz="6" w:space="0"/>
              <w:bottom w:val="single" w:color="auto" w:sz="4" w:space="0"/>
              <w:right w:val="single" w:color="000000" w:sz="6" w:space="0"/>
            </w:tcBorders>
            <w:vAlign w:val="center"/>
          </w:tcPr>
          <w:p w14:paraId="15A6DF29">
            <w:pPr>
              <w:ind w:left="9"/>
              <w:jc w:val="center"/>
              <w:rPr>
                <w:rFonts w:ascii="宋体" w:hAnsi="宋体" w:cs="宋体"/>
                <w:spacing w:val="-2"/>
                <w:szCs w:val="21"/>
              </w:rPr>
            </w:pPr>
            <w:r>
              <w:rPr>
                <w:rFonts w:ascii="宋体" w:hAnsi="宋体" w:cs="宋体"/>
                <w:spacing w:val="-2"/>
                <w:szCs w:val="21"/>
              </w:rPr>
              <w:t>B</w:t>
            </w:r>
          </w:p>
        </w:tc>
        <w:tc>
          <w:tcPr>
            <w:tcW w:w="1833" w:type="dxa"/>
            <w:tcBorders>
              <w:top w:val="single" w:color="000000" w:sz="6" w:space="0"/>
              <w:left w:val="single" w:color="000000" w:sz="6" w:space="0"/>
              <w:bottom w:val="single" w:color="auto" w:sz="4" w:space="0"/>
              <w:right w:val="single" w:color="000000" w:sz="6" w:space="0"/>
            </w:tcBorders>
            <w:vAlign w:val="center"/>
          </w:tcPr>
          <w:p w14:paraId="3DCBD96C">
            <w:pPr>
              <w:ind w:left="23"/>
              <w:jc w:val="center"/>
              <w:rPr>
                <w:rFonts w:ascii="宋体" w:hAnsi="宋体" w:cs="宋体"/>
                <w:spacing w:val="-2"/>
                <w:szCs w:val="21"/>
              </w:rPr>
            </w:pPr>
            <w:r>
              <w:rPr>
                <w:rFonts w:ascii="宋体" w:hAnsi="宋体" w:cs="宋体"/>
                <w:spacing w:val="-2"/>
                <w:szCs w:val="21"/>
              </w:rPr>
              <w:t>15.1.1-17.12.31</w:t>
            </w:r>
          </w:p>
        </w:tc>
        <w:tc>
          <w:tcPr>
            <w:tcW w:w="840" w:type="dxa"/>
            <w:tcBorders>
              <w:top w:val="single" w:color="000000" w:sz="6" w:space="0"/>
              <w:left w:val="single" w:color="000000" w:sz="6" w:space="0"/>
              <w:bottom w:val="single" w:color="auto" w:sz="4" w:space="0"/>
              <w:right w:val="single" w:color="000000" w:sz="6" w:space="0"/>
            </w:tcBorders>
            <w:vAlign w:val="center"/>
          </w:tcPr>
          <w:p w14:paraId="5060E08C">
            <w:pPr>
              <w:ind w:left="49"/>
              <w:jc w:val="center"/>
              <w:rPr>
                <w:rFonts w:ascii="宋体" w:hAnsi="宋体" w:cs="宋体"/>
                <w:spacing w:val="-2"/>
                <w:szCs w:val="21"/>
              </w:rPr>
            </w:pPr>
            <w:r>
              <w:rPr>
                <w:rFonts w:ascii="宋体" w:hAnsi="宋体" w:cs="宋体"/>
                <w:spacing w:val="-2"/>
                <w:szCs w:val="21"/>
              </w:rPr>
              <w:t>2</w:t>
            </w:r>
          </w:p>
        </w:tc>
        <w:tc>
          <w:tcPr>
            <w:tcW w:w="2212" w:type="dxa"/>
            <w:tcBorders>
              <w:top w:val="single" w:color="000000" w:sz="6" w:space="0"/>
              <w:left w:val="single" w:color="000000" w:sz="6" w:space="0"/>
              <w:bottom w:val="single" w:color="auto" w:sz="4" w:space="0"/>
              <w:right w:val="single" w:color="000000" w:sz="6" w:space="0"/>
            </w:tcBorders>
            <w:vAlign w:val="center"/>
          </w:tcPr>
          <w:p w14:paraId="2F932C4F">
            <w:pPr>
              <w:ind w:left="9"/>
              <w:jc w:val="center"/>
              <w:rPr>
                <w:rFonts w:ascii="宋体" w:hAnsi="宋体" w:cs="宋体"/>
                <w:spacing w:val="-2"/>
                <w:szCs w:val="21"/>
              </w:rPr>
            </w:pPr>
            <w:r>
              <w:rPr>
                <w:rFonts w:hint="eastAsia" w:ascii="宋体" w:hAnsi="宋体" w:cs="宋体"/>
                <w:spacing w:val="-2"/>
                <w:szCs w:val="21"/>
              </w:rPr>
              <w:t>单打</w:t>
            </w:r>
          </w:p>
        </w:tc>
        <w:tc>
          <w:tcPr>
            <w:tcW w:w="2283" w:type="dxa"/>
            <w:tcBorders>
              <w:top w:val="single" w:color="000000" w:sz="6" w:space="0"/>
              <w:left w:val="single" w:color="000000" w:sz="6" w:space="0"/>
              <w:bottom w:val="single" w:color="auto" w:sz="4" w:space="0"/>
              <w:right w:val="single" w:color="000000" w:sz="6" w:space="0"/>
            </w:tcBorders>
            <w:vAlign w:val="center"/>
          </w:tcPr>
          <w:p w14:paraId="3C17972F">
            <w:pPr>
              <w:ind w:left="9"/>
              <w:jc w:val="center"/>
              <w:rPr>
                <w:rFonts w:ascii="宋体" w:hAnsi="宋体" w:cs="宋体"/>
                <w:spacing w:val="-2"/>
                <w:szCs w:val="21"/>
              </w:rPr>
            </w:pPr>
            <w:r>
              <w:rPr>
                <w:rFonts w:hint="eastAsia" w:ascii="宋体" w:hAnsi="宋体" w:cs="宋体"/>
                <w:spacing w:val="-2"/>
                <w:szCs w:val="21"/>
              </w:rPr>
              <w:t>单打</w:t>
            </w:r>
          </w:p>
        </w:tc>
      </w:tr>
    </w:tbl>
    <w:p w14:paraId="650D439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八、参赛资格</w:t>
      </w:r>
    </w:p>
    <w:p w14:paraId="48E69F31">
      <w:pPr>
        <w:spacing w:line="540" w:lineRule="exact"/>
        <w:ind w:firstLine="560" w:firstLineChars="200"/>
        <w:rPr>
          <w:rFonts w:ascii="仿宋" w:hAnsi="仿宋" w:eastAsia="仿宋" w:cs="仿宋"/>
          <w:color w:val="0000FF"/>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52760280">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144AD154">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w:t>
      </w:r>
      <w:r>
        <w:rPr>
          <w:rFonts w:ascii="仿宋" w:hAnsi="仿宋" w:eastAsia="仿宋" w:cs="仿宋"/>
          <w:sz w:val="28"/>
          <w:szCs w:val="28"/>
        </w:rPr>
        <w:t>6</w:t>
      </w:r>
      <w:r>
        <w:rPr>
          <w:rFonts w:hint="eastAsia" w:ascii="仿宋" w:hAnsi="仿宋" w:eastAsia="仿宋" w:cs="仿宋"/>
          <w:sz w:val="28"/>
          <w:szCs w:val="28"/>
        </w:rPr>
        <w:t>年在本市有效注册的青少年运动员，并持本人当年有效的《上海市青少年运动员注册卡》参赛。</w:t>
      </w:r>
      <w:bookmarkEnd w:id="0"/>
    </w:p>
    <w:p w14:paraId="154D3B6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（四）参赛运动员须先参加2</w:t>
      </w:r>
      <w:r>
        <w:rPr>
          <w:rFonts w:ascii="仿宋" w:hAnsi="仿宋" w:eastAsia="仿宋" w:cs="仿宋"/>
          <w:sz w:val="28"/>
          <w:szCs w:val="28"/>
        </w:rPr>
        <w:t>026</w:t>
      </w:r>
      <w:r>
        <w:rPr>
          <w:rFonts w:hint="eastAsia" w:ascii="仿宋" w:hAnsi="仿宋" w:eastAsia="仿宋" w:cs="仿宋"/>
          <w:sz w:val="28"/>
          <w:szCs w:val="28"/>
        </w:rPr>
        <w:t>年上海市壁球体能测试赛并满足相应条件（男女各组别运动员总分排名位列前9</w:t>
      </w:r>
      <w:r>
        <w:rPr>
          <w:rFonts w:ascii="仿宋" w:hAnsi="仿宋" w:eastAsia="仿宋" w:cs="仿宋"/>
          <w:sz w:val="28"/>
          <w:szCs w:val="28"/>
        </w:rPr>
        <w:t>0%</w:t>
      </w:r>
      <w:r>
        <w:rPr>
          <w:rFonts w:hint="eastAsia" w:ascii="仿宋" w:hAnsi="仿宋" w:eastAsia="仿宋" w:cs="仿宋"/>
          <w:sz w:val="28"/>
          <w:szCs w:val="28"/>
        </w:rPr>
        <w:t>，或未位列前9</w:t>
      </w:r>
      <w:r>
        <w:rPr>
          <w:rFonts w:ascii="仿宋" w:hAnsi="仿宋" w:eastAsia="仿宋" w:cs="仿宋"/>
          <w:sz w:val="28"/>
          <w:szCs w:val="28"/>
        </w:rPr>
        <w:t>0%</w:t>
      </w:r>
      <w:r>
        <w:rPr>
          <w:rFonts w:hint="eastAsia" w:ascii="仿宋" w:hAnsi="仿宋" w:eastAsia="仿宋" w:cs="仿宋"/>
          <w:sz w:val="28"/>
          <w:szCs w:val="28"/>
        </w:rPr>
        <w:t>但体测成绩总分超过5</w:t>
      </w:r>
      <w:r>
        <w:rPr>
          <w:rFonts w:ascii="仿宋" w:hAnsi="仿宋" w:eastAsia="仿宋" w:cs="仿宋"/>
          <w:sz w:val="28"/>
          <w:szCs w:val="28"/>
        </w:rPr>
        <w:t>0</w:t>
      </w:r>
      <w:r>
        <w:rPr>
          <w:rFonts w:hint="eastAsia" w:ascii="仿宋" w:hAnsi="仿宋" w:eastAsia="仿宋" w:cs="仿宋"/>
          <w:sz w:val="28"/>
          <w:szCs w:val="28"/>
        </w:rPr>
        <w:t>分）方可报名参赛。</w:t>
      </w:r>
    </w:p>
    <w:p w14:paraId="4EED1851">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8CAA7D9">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（六）2026年已在外省市注册或代表外省市在国家体育总局注册的运动员不得参加比赛，经上海市体育局批准同意交流至外省市的运动员除外。</w:t>
      </w:r>
    </w:p>
    <w:p w14:paraId="11963A87">
      <w:pPr>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（七）本市市属青少年高水平运动队在编运动员代表注册单位参赛。</w:t>
      </w:r>
    </w:p>
    <w:p w14:paraId="4B5008E9">
      <w:pPr>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（八）</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4EAD50C5">
      <w:pPr>
        <w:numPr>
          <w:ilvl w:val="255"/>
          <w:numId w:val="0"/>
        </w:numPr>
        <w:spacing w:line="540" w:lineRule="exact"/>
        <w:ind w:firstLine="560" w:firstLineChars="200"/>
        <w:rPr>
          <w:rFonts w:ascii="仿宋" w:hAnsi="仿宋" w:eastAsia="仿宋" w:cs="仿宋"/>
          <w:spacing w:val="-4"/>
          <w:sz w:val="28"/>
          <w:szCs w:val="28"/>
        </w:rPr>
      </w:pPr>
      <w:r>
        <w:rPr>
          <w:rFonts w:hint="eastAsia" w:ascii="仿宋" w:hAnsi="仿宋" w:eastAsia="仿宋" w:cs="仿宋"/>
          <w:sz w:val="28"/>
          <w:szCs w:val="28"/>
        </w:rPr>
        <w:t>（九）举重、摔跤两个项目作为主项不得和本项目以外的其他任何项目兼项参赛，其他项目作为主项可以兼项举重、摔跤参赛。</w:t>
      </w:r>
    </w:p>
    <w:p w14:paraId="6A273CE8">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九、参加办法（参赛办法、报名办法）</w:t>
      </w:r>
    </w:p>
    <w:p w14:paraId="485E46C6">
      <w:pPr>
        <w:overflowPunct w:val="0"/>
        <w:topLinePunct/>
        <w:spacing w:line="540" w:lineRule="exact"/>
        <w:ind w:left="105" w:leftChars="50" w:firstLine="560" w:firstLineChars="200"/>
        <w:rPr>
          <w:rFonts w:ascii="仿宋" w:hAnsi="仿宋" w:eastAsia="仿宋" w:cs="仿宋"/>
          <w:sz w:val="28"/>
          <w:szCs w:val="28"/>
        </w:rPr>
      </w:pPr>
      <w:r>
        <w:rPr>
          <w:rFonts w:hint="eastAsia" w:ascii="仿宋" w:hAnsi="仿宋" w:eastAsia="仿宋" w:cs="仿宋"/>
          <w:sz w:val="28"/>
          <w:szCs w:val="28"/>
        </w:rPr>
        <w:t>（一）报名人数：各代表团可报领队1人，教练员1-</w:t>
      </w:r>
      <w:r>
        <w:rPr>
          <w:rFonts w:ascii="仿宋" w:hAnsi="仿宋" w:eastAsia="仿宋" w:cs="仿宋"/>
          <w:sz w:val="28"/>
          <w:szCs w:val="28"/>
        </w:rPr>
        <w:t>3</w:t>
      </w:r>
      <w:r>
        <w:rPr>
          <w:rFonts w:hint="eastAsia" w:ascii="仿宋" w:hAnsi="仿宋" w:eastAsia="仿宋" w:cs="仿宋"/>
          <w:sz w:val="28"/>
          <w:szCs w:val="28"/>
        </w:rPr>
        <w:t>人，各组别各小项可报运动员数量不限。教练员必须是2026年在本市有效注册的青训教练员。</w:t>
      </w:r>
    </w:p>
    <w:p w14:paraId="22F161A8">
      <w:pPr>
        <w:adjustRightInd w:val="0"/>
        <w:snapToGrid w:val="0"/>
        <w:spacing w:line="540" w:lineRule="exact"/>
        <w:ind w:firstLine="561"/>
        <w:rPr>
          <w:rFonts w:ascii="仿宋" w:hAnsi="仿宋" w:eastAsia="仿宋" w:cs="仿宋"/>
          <w:sz w:val="28"/>
          <w:szCs w:val="28"/>
        </w:rPr>
      </w:pPr>
      <w:r>
        <w:rPr>
          <w:rFonts w:hint="eastAsia" w:ascii="仿宋" w:hAnsi="仿宋" w:eastAsia="仿宋" w:cs="仿宋"/>
          <w:sz w:val="28"/>
          <w:szCs w:val="28"/>
        </w:rPr>
        <w:t>（二）交流运动员报名人数不超过该组别实际报名人数30%（按四舍五入计）。</w:t>
      </w:r>
    </w:p>
    <w:p w14:paraId="213C36AF">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参赛单位通过大会指定的网站www.aijingsai.cn（上海青少年体育赛事网）进行网上报名，并在规定时间内将导出打印的报名表加盖公章后，一式两份报大会组委会竞赛部（地址：徐汇区零陵路800号8楼，竞赛部，31211118）。</w:t>
      </w:r>
    </w:p>
    <w:p w14:paraId="1A39AD3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（四）各参赛单位须为参赛运动员办理人身意外伤害保险，并携带保单原件或复印件在报到时查验。</w:t>
      </w:r>
    </w:p>
    <w:p w14:paraId="31B6A345">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十、竞赛办法</w:t>
      </w:r>
    </w:p>
    <w:p w14:paraId="629EB35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（一）采用国家体育总局小球运动管理中心最新审定的《壁球单打规则》及有关规定执行。</w:t>
      </w:r>
    </w:p>
    <w:p w14:paraId="5E428EEB">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（二）本次比赛以2</w:t>
      </w:r>
      <w:r>
        <w:rPr>
          <w:rFonts w:ascii="仿宋" w:hAnsi="仿宋" w:eastAsia="仿宋" w:cs="仿宋"/>
          <w:sz w:val="28"/>
          <w:szCs w:val="28"/>
        </w:rPr>
        <w:t>026</w:t>
      </w:r>
      <w:r>
        <w:rPr>
          <w:rFonts w:hint="eastAsia" w:ascii="仿宋" w:hAnsi="仿宋" w:eastAsia="仿宋" w:cs="仿宋"/>
          <w:sz w:val="28"/>
          <w:szCs w:val="28"/>
        </w:rPr>
        <w:t>年上海市青少年壁球锦标赛成绩排名设定种子选手。各小项参赛人数不足6人的，不设种子；参赛人数6</w:t>
      </w:r>
      <w:r>
        <w:rPr>
          <w:rFonts w:ascii="仿宋" w:hAnsi="仿宋" w:eastAsia="仿宋" w:cs="仿宋"/>
          <w:sz w:val="28"/>
          <w:szCs w:val="28"/>
        </w:rPr>
        <w:t>-15</w:t>
      </w:r>
      <w:r>
        <w:rPr>
          <w:rFonts w:hint="eastAsia" w:ascii="仿宋" w:hAnsi="仿宋" w:eastAsia="仿宋" w:cs="仿宋"/>
          <w:sz w:val="28"/>
          <w:szCs w:val="28"/>
        </w:rPr>
        <w:t>人的，取前4名作为种子；参赛人数1</w:t>
      </w:r>
      <w:r>
        <w:rPr>
          <w:rFonts w:ascii="仿宋" w:hAnsi="仿宋" w:eastAsia="仿宋" w:cs="仿宋"/>
          <w:sz w:val="28"/>
          <w:szCs w:val="28"/>
        </w:rPr>
        <w:t>6-31</w:t>
      </w:r>
      <w:r>
        <w:rPr>
          <w:rFonts w:hint="eastAsia" w:ascii="仿宋" w:hAnsi="仿宋" w:eastAsia="仿宋" w:cs="仿宋"/>
          <w:sz w:val="28"/>
          <w:szCs w:val="28"/>
        </w:rPr>
        <w:t>人的，取前6名作为种子；参赛人数超过3</w:t>
      </w:r>
      <w:r>
        <w:rPr>
          <w:rFonts w:ascii="仿宋" w:hAnsi="仿宋" w:eastAsia="仿宋" w:cs="仿宋"/>
          <w:sz w:val="28"/>
          <w:szCs w:val="28"/>
        </w:rPr>
        <w:t>2</w:t>
      </w:r>
      <w:r>
        <w:rPr>
          <w:rFonts w:hint="eastAsia" w:ascii="仿宋" w:hAnsi="仿宋" w:eastAsia="仿宋" w:cs="仿宋"/>
          <w:sz w:val="28"/>
          <w:szCs w:val="28"/>
        </w:rPr>
        <w:t>人的，取前</w:t>
      </w:r>
      <w:r>
        <w:rPr>
          <w:rFonts w:ascii="仿宋" w:hAnsi="仿宋" w:eastAsia="仿宋" w:cs="仿宋"/>
          <w:sz w:val="28"/>
          <w:szCs w:val="28"/>
        </w:rPr>
        <w:t>8</w:t>
      </w:r>
      <w:r>
        <w:rPr>
          <w:rFonts w:hint="eastAsia" w:ascii="仿宋" w:hAnsi="仿宋" w:eastAsia="仿宋" w:cs="仿宋"/>
          <w:sz w:val="28"/>
          <w:szCs w:val="28"/>
        </w:rPr>
        <w:t>名作为种子。其余参赛人员以随机方式进行抽签编排。</w:t>
      </w:r>
    </w:p>
    <w:p w14:paraId="0B273182">
      <w:pPr>
        <w:adjustRightInd w:val="0"/>
        <w:snapToGrid w:val="0"/>
        <w:spacing w:line="540" w:lineRule="exact"/>
        <w:ind w:firstLine="564"/>
        <w:rPr>
          <w:rFonts w:ascii="仿宋" w:hAnsi="仿宋" w:eastAsia="仿宋" w:cs="仿宋_GB2312"/>
          <w:sz w:val="28"/>
          <w:szCs w:val="28"/>
        </w:rPr>
      </w:pPr>
      <w:r>
        <w:rPr>
          <w:rFonts w:hint="eastAsia" w:ascii="仿宋" w:hAnsi="仿宋" w:eastAsia="仿宋" w:cs="仿宋"/>
          <w:sz w:val="28"/>
          <w:szCs w:val="28"/>
        </w:rPr>
        <w:t>（三）赛制：</w:t>
      </w:r>
      <w:r>
        <w:rPr>
          <w:rFonts w:hint="eastAsia" w:ascii="仿宋" w:hAnsi="仿宋" w:eastAsia="仿宋" w:cs="仿宋_GB2312"/>
          <w:sz w:val="28"/>
          <w:szCs w:val="28"/>
        </w:rPr>
        <w:t>根据实际报名人数确定分组情况及赛制。各组别各小项报名不足</w:t>
      </w:r>
      <w:r>
        <w:rPr>
          <w:rFonts w:ascii="仿宋" w:hAnsi="仿宋" w:eastAsia="仿宋" w:cs="仿宋_GB2312"/>
          <w:sz w:val="28"/>
          <w:szCs w:val="28"/>
        </w:rPr>
        <w:t>6</w:t>
      </w:r>
      <w:r>
        <w:rPr>
          <w:rFonts w:hint="eastAsia" w:ascii="仿宋" w:hAnsi="仿宋" w:eastAsia="仿宋" w:cs="仿宋_GB2312"/>
          <w:sz w:val="28"/>
          <w:szCs w:val="28"/>
        </w:rPr>
        <w:t>人的采取单循环赛制；报名</w:t>
      </w:r>
      <w:r>
        <w:rPr>
          <w:rFonts w:ascii="仿宋" w:hAnsi="仿宋" w:eastAsia="仿宋" w:cs="仿宋_GB2312"/>
          <w:sz w:val="28"/>
          <w:szCs w:val="28"/>
        </w:rPr>
        <w:t>6</w:t>
      </w:r>
      <w:r>
        <w:rPr>
          <w:rFonts w:hint="eastAsia" w:ascii="仿宋" w:hAnsi="仿宋" w:eastAsia="仿宋" w:cs="仿宋_GB2312"/>
          <w:sz w:val="28"/>
          <w:szCs w:val="28"/>
        </w:rPr>
        <w:t>人以上采取小组赛、单败淘汰赛及5</w:t>
      </w:r>
      <w:r>
        <w:rPr>
          <w:rFonts w:ascii="仿宋" w:hAnsi="仿宋" w:eastAsia="仿宋" w:cs="仿宋_GB2312"/>
          <w:sz w:val="28"/>
          <w:szCs w:val="28"/>
        </w:rPr>
        <w:t>-8</w:t>
      </w:r>
      <w:r>
        <w:rPr>
          <w:rFonts w:hint="eastAsia" w:ascii="仿宋" w:hAnsi="仿宋" w:eastAsia="仿宋" w:cs="仿宋_GB2312"/>
          <w:sz w:val="28"/>
          <w:szCs w:val="28"/>
        </w:rPr>
        <w:t>名排位赛。各组别各小项均通过比赛决出前8名。</w:t>
      </w:r>
    </w:p>
    <w:p w14:paraId="388CAD3C">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（四）竞赛规则</w:t>
      </w:r>
    </w:p>
    <w:p w14:paraId="1306389F">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1.单循环及各组别前8名比赛采用5局3胜制，其余比赛采用3局2胜制。</w:t>
      </w:r>
      <w:r>
        <w:rPr>
          <w:rFonts w:ascii="仿宋" w:hAnsi="仿宋" w:eastAsia="仿宋" w:cs="仿宋"/>
          <w:sz w:val="28"/>
          <w:szCs w:val="28"/>
        </w:rPr>
        <w:t xml:space="preserve"> </w:t>
      </w:r>
    </w:p>
    <w:p w14:paraId="70B6F38A">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2.小组赛和循环赛积分办法及规则</w:t>
      </w:r>
    </w:p>
    <w:p w14:paraId="2841B37F">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w:t>
      </w:r>
      <w:r>
        <w:rPr>
          <w:rFonts w:ascii="仿宋" w:hAnsi="仿宋" w:eastAsia="仿宋" w:cs="仿宋_GB2312"/>
          <w:sz w:val="28"/>
          <w:szCs w:val="28"/>
        </w:rPr>
        <w:t>1</w:t>
      </w:r>
      <w:r>
        <w:rPr>
          <w:rFonts w:hint="eastAsia" w:ascii="仿宋" w:hAnsi="仿宋" w:eastAsia="仿宋" w:cs="仿宋_GB2312"/>
          <w:sz w:val="28"/>
          <w:szCs w:val="28"/>
        </w:rPr>
        <w:t>）积分计算：胜一场积1分，负一场积0分，弃权积</w:t>
      </w:r>
      <w:r>
        <w:rPr>
          <w:rFonts w:ascii="仿宋" w:hAnsi="仿宋" w:eastAsia="仿宋" w:cs="仿宋_GB2312"/>
          <w:sz w:val="28"/>
          <w:szCs w:val="28"/>
        </w:rPr>
        <w:t>0</w:t>
      </w:r>
      <w:r>
        <w:rPr>
          <w:rFonts w:hint="eastAsia" w:ascii="仿宋" w:hAnsi="仿宋" w:eastAsia="仿宋" w:cs="仿宋_GB2312"/>
          <w:sz w:val="28"/>
          <w:szCs w:val="28"/>
        </w:rPr>
        <w:t>分。</w:t>
      </w:r>
    </w:p>
    <w:p w14:paraId="7B8FE873">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（2）如两人积分相同，则查看两个人之间的胜负关系，胜者名次列前。</w:t>
      </w:r>
    </w:p>
    <w:p w14:paraId="5AD57165">
      <w:pPr>
        <w:adjustRightInd w:val="0"/>
        <w:snapToGrid w:val="0"/>
        <w:spacing w:line="54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（3）如三人及以上人数积分相同，则先计算净胜场数，多者名次列前；如相同，再计算净胜局数，多者名次列前；如相同，再计算净胜分数，多者名次列前；如再相同，则抽签决定名次，不重新进行比赛。</w:t>
      </w:r>
    </w:p>
    <w:p w14:paraId="11BFF995">
      <w:pPr>
        <w:adjustRightInd w:val="0"/>
        <w:snapToGrid w:val="0"/>
        <w:spacing w:line="540" w:lineRule="exact"/>
        <w:ind w:firstLine="564"/>
        <w:rPr>
          <w:rFonts w:ascii="仿宋" w:hAnsi="仿宋" w:eastAsia="仿宋" w:cs="仿宋"/>
          <w:sz w:val="28"/>
          <w:szCs w:val="28"/>
        </w:rPr>
      </w:pPr>
      <w:r>
        <w:rPr>
          <w:rFonts w:hint="eastAsia" w:ascii="仿宋" w:hAnsi="仿宋" w:eastAsia="仿宋" w:cs="仿宋"/>
          <w:sz w:val="28"/>
          <w:szCs w:val="28"/>
        </w:rPr>
        <w:t>（五）比赛装备</w:t>
      </w:r>
    </w:p>
    <w:p w14:paraId="387E1576">
      <w:pPr>
        <w:adjustRightInd w:val="0"/>
        <w:snapToGrid w:val="0"/>
        <w:spacing w:line="540" w:lineRule="exact"/>
        <w:ind w:firstLine="564"/>
        <w:rPr>
          <w:rFonts w:ascii="仿宋" w:hAnsi="仿宋" w:eastAsia="仿宋" w:cs="仿宋_GB2312"/>
          <w:sz w:val="28"/>
          <w:szCs w:val="28"/>
        </w:rPr>
      </w:pPr>
      <w:r>
        <w:rPr>
          <w:rFonts w:hint="eastAsia" w:ascii="仿宋" w:hAnsi="仿宋" w:eastAsia="仿宋" w:cs="仿宋"/>
          <w:sz w:val="28"/>
          <w:szCs w:val="28"/>
        </w:rPr>
        <w:t>1.</w:t>
      </w:r>
      <w:r>
        <w:rPr>
          <w:rFonts w:hint="eastAsia" w:ascii="仿宋" w:hAnsi="仿宋" w:eastAsia="仿宋" w:cs="仿宋_GB2312"/>
          <w:sz w:val="28"/>
          <w:szCs w:val="28"/>
        </w:rPr>
        <w:t xml:space="preserve"> 运动员上场比赛时必须佩戴壁球护目镜。</w:t>
      </w:r>
    </w:p>
    <w:p w14:paraId="3C09F9D5">
      <w:pPr>
        <w:widowControl/>
        <w:adjustRightInd w:val="0"/>
        <w:snapToGrid w:val="0"/>
        <w:spacing w:line="540" w:lineRule="exact"/>
        <w:ind w:firstLine="562"/>
        <w:jc w:val="left"/>
        <w:rPr>
          <w:rFonts w:ascii="仿宋" w:hAnsi="仿宋" w:eastAsia="仿宋" w:cs="仿宋_GB2312"/>
          <w:sz w:val="28"/>
          <w:szCs w:val="28"/>
        </w:rPr>
      </w:pPr>
      <w:r>
        <w:rPr>
          <w:rFonts w:hint="eastAsia" w:ascii="仿宋" w:hAnsi="仿宋" w:eastAsia="仿宋" w:cs="仿宋"/>
          <w:sz w:val="28"/>
          <w:szCs w:val="28"/>
        </w:rPr>
        <w:t>2.</w:t>
      </w:r>
      <w:r>
        <w:rPr>
          <w:rFonts w:hint="eastAsia" w:ascii="仿宋" w:hAnsi="仿宋" w:eastAsia="仿宋" w:cs="仿宋_GB2312"/>
          <w:sz w:val="28"/>
          <w:szCs w:val="28"/>
        </w:rPr>
        <w:t xml:space="preserve"> 运动员严禁佩戴饰物参赛。</w:t>
      </w:r>
    </w:p>
    <w:p w14:paraId="4B0032FA">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（六）弃权规定</w:t>
      </w:r>
    </w:p>
    <w:p w14:paraId="4CCECE34">
      <w:pPr>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1.运动员有在规定比赛时间未能上场或迟到4分钟（含）以上行为，认定该场比赛弃赛；</w:t>
      </w:r>
    </w:p>
    <w:p w14:paraId="34C98585">
      <w:pPr>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2.若运动员小组赛/单循环赛存在无故弃赛行为，经裁判长认定后，则该运动员小组赛/单循环赛积分清零；</w:t>
      </w:r>
    </w:p>
    <w:p w14:paraId="321416FC">
      <w:pPr>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3.若运动员因伤弃赛，则需由赛事医疗组出具书面认定并提交至裁判组，保留小组赛或循环赛再次参赛的权利。</w:t>
      </w:r>
    </w:p>
    <w:p w14:paraId="16892C9A">
      <w:pPr>
        <w:spacing w:line="540" w:lineRule="exact"/>
        <w:ind w:firstLine="560" w:firstLineChars="200"/>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4.报名后无故弃赛的，取消本人全部成绩。因故不能参赛的，需提前提供运动员所在区体育行政部门出具的相关证明。</w:t>
      </w:r>
    </w:p>
    <w:p w14:paraId="2AAEFAA8">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（七）各竞赛小项参赛人数少于2个参赛单位3人，均不安排比赛。</w:t>
      </w:r>
    </w:p>
    <w:p w14:paraId="15D2C012">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十一、录取名次、计牌计分和奖励办法</w:t>
      </w:r>
    </w:p>
    <w:p w14:paraId="511F3F7D">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（一）各组别</w:t>
      </w:r>
      <w:r>
        <w:rPr>
          <w:rFonts w:hint="eastAsia" w:ascii="仿宋" w:hAnsi="仿宋" w:eastAsia="仿宋" w:cs="仿宋"/>
          <w:bCs/>
          <w:sz w:val="28"/>
          <w:szCs w:val="28"/>
        </w:rPr>
        <w:t>录取前</w:t>
      </w:r>
      <w:r>
        <w:rPr>
          <w:rFonts w:ascii="仿宋" w:hAnsi="仿宋" w:eastAsia="仿宋" w:cs="仿宋"/>
          <w:bCs/>
          <w:sz w:val="28"/>
          <w:szCs w:val="28"/>
        </w:rPr>
        <w:t>8</w:t>
      </w:r>
      <w:r>
        <w:rPr>
          <w:rFonts w:hint="eastAsia" w:ascii="仿宋" w:hAnsi="仿宋" w:eastAsia="仿宋" w:cs="仿宋"/>
          <w:bCs/>
          <w:sz w:val="28"/>
          <w:szCs w:val="28"/>
        </w:rPr>
        <w:t>名，不足</w:t>
      </w:r>
      <w:r>
        <w:rPr>
          <w:rFonts w:ascii="仿宋" w:hAnsi="仿宋" w:eastAsia="仿宋" w:cs="仿宋"/>
          <w:bCs/>
          <w:sz w:val="28"/>
          <w:szCs w:val="28"/>
        </w:rPr>
        <w:t>8</w:t>
      </w:r>
      <w:r>
        <w:rPr>
          <w:rFonts w:hint="eastAsia" w:ascii="仿宋" w:hAnsi="仿宋" w:eastAsia="仿宋" w:cs="仿宋"/>
          <w:bCs/>
          <w:sz w:val="28"/>
          <w:szCs w:val="28"/>
        </w:rPr>
        <w:t>人参赛的，则按实际参赛人数录取名次。</w:t>
      </w:r>
    </w:p>
    <w:p w14:paraId="0979AB5F">
      <w:pPr>
        <w:adjustRightInd w:val="0"/>
        <w:snapToGrid w:val="0"/>
        <w:spacing w:line="540" w:lineRule="exact"/>
        <w:ind w:firstLine="560" w:firstLineChars="200"/>
        <w:rPr>
          <w:rFonts w:ascii="仿宋" w:hAnsi="仿宋" w:eastAsia="仿宋" w:cs="仿宋"/>
          <w:bCs/>
          <w:sz w:val="28"/>
          <w:szCs w:val="28"/>
        </w:rPr>
      </w:pPr>
      <w:r>
        <w:rPr>
          <w:rFonts w:hint="eastAsia" w:ascii="仿宋" w:hAnsi="仿宋" w:eastAsia="仿宋" w:cs="仿宋"/>
          <w:sz w:val="28"/>
          <w:szCs w:val="28"/>
        </w:rPr>
        <w:t>（二）各组别各小项前3名依次按1金、1银、1铜计牌，前8名依次按11、9、8、7、6、5、4、3计分。</w:t>
      </w:r>
    </w:p>
    <w:p w14:paraId="6CDAFCD6">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（三）开展“体育道德风尚奖”评选活动，按照本届运动会竞赛规程总则的有关规定执行。</w:t>
      </w:r>
    </w:p>
    <w:p w14:paraId="28229E9F">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十二、申诉和纪律</w:t>
      </w:r>
    </w:p>
    <w:p w14:paraId="532BFD6C">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根据《壁球单打规则》相关条款，在一切情况下，裁判的判定是最终的裁决，申诉不改变判罚和比赛结果。运动员对比赛判罚有异议的，可在赛后1小时内由运动员本人或教练向裁判长提出书面申诉，逾期不予受理。申诉提交时须注明申诉人、申诉事项、申诉理由并提供相关证明材料。申诉由赛事</w:t>
      </w:r>
      <w:bookmarkStart w:id="2" w:name="_GoBack"/>
      <w:bookmarkEnd w:id="2"/>
      <w:r>
        <w:rPr>
          <w:rFonts w:hint="eastAsia" w:ascii="仿宋" w:hAnsi="仿宋" w:eastAsia="仿宋" w:cs="仿宋"/>
          <w:sz w:val="28"/>
          <w:szCs w:val="28"/>
        </w:rPr>
        <w:t>仲裁委员会负责受理并作出最终裁决。</w:t>
      </w:r>
    </w:p>
    <w:p w14:paraId="7A1D90AE">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对运动员、教练员、裁判员和体育赛事组织者违反本届运动会赛风赛纪情形，一经查实，按照《上海市体育赛事活动赛风赛纪管理实施细则》及市运会组委会有关规定处罚。对发生任何兴奋剂违规事件的，按照国家体育总局、上海市体育局反兴奋剂相关规定进行处罚。</w:t>
      </w:r>
    </w:p>
    <w:p w14:paraId="59A5F2E5">
      <w:pPr>
        <w:adjustRightInd w:val="0"/>
        <w:snapToGrid w:val="0"/>
        <w:spacing w:line="540" w:lineRule="exact"/>
        <w:ind w:firstLine="562" w:firstLineChars="200"/>
        <w:rPr>
          <w:rFonts w:ascii="仿宋" w:hAnsi="仿宋" w:eastAsia="仿宋" w:cs="仿宋"/>
          <w:b/>
          <w:bCs/>
          <w:sz w:val="28"/>
          <w:szCs w:val="28"/>
        </w:rPr>
      </w:pPr>
      <w:r>
        <w:rPr>
          <w:rFonts w:hint="eastAsia" w:ascii="仿宋" w:hAnsi="仿宋" w:eastAsia="仿宋" w:cs="仿宋"/>
          <w:b/>
          <w:bCs/>
          <w:sz w:val="28"/>
          <w:szCs w:val="28"/>
        </w:rPr>
        <w:t>十三、技术官员</w:t>
      </w:r>
    </w:p>
    <w:p w14:paraId="4E643327">
      <w:pPr>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按照本届运动会竞赛规程总则的有关规定执行。</w:t>
      </w:r>
    </w:p>
    <w:p w14:paraId="71FDD657">
      <w:pPr>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十四、其他</w:t>
      </w:r>
    </w:p>
    <w:p w14:paraId="3214C470">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（一）如本规程内容与本届运动会竞赛规程总则或上海市体育局相关规定发生冲突，则以本届运动会总则或上海市体育局规定为准。</w:t>
      </w:r>
    </w:p>
    <w:p w14:paraId="61C0C7D7">
      <w:pPr>
        <w:adjustRightInd w:val="0"/>
        <w:snapToGrid w:val="0"/>
        <w:spacing w:line="540" w:lineRule="exact"/>
        <w:ind w:firstLine="560" w:firstLineChars="200"/>
        <w:rPr>
          <w:rFonts w:ascii="仿宋" w:hAnsi="仿宋" w:eastAsia="仿宋" w:cs="仿宋"/>
          <w:color w:val="000000"/>
          <w:sz w:val="28"/>
          <w:szCs w:val="28"/>
        </w:rPr>
      </w:pPr>
      <w:bookmarkStart w:id="1" w:name="_Hlk162361054"/>
      <w:r>
        <w:rPr>
          <w:rFonts w:hint="eastAsia" w:ascii="仿宋" w:hAnsi="仿宋" w:eastAsia="仿宋" w:cs="仿宋"/>
          <w:color w:val="000000"/>
          <w:sz w:val="28"/>
          <w:szCs w:val="28"/>
        </w:rPr>
        <w:t>（二）参赛单位运动员、教练员应知晓体育竞赛的相关风险，确保自己身体状况符合参赛要求，自行承担非承办单位故意或重大过失导致的伤害。</w:t>
      </w:r>
      <w:bookmarkEnd w:id="1"/>
    </w:p>
    <w:p w14:paraId="386E954D">
      <w:pPr>
        <w:adjustRightInd w:val="0"/>
        <w:snapToGrid w:val="0"/>
        <w:spacing w:line="540" w:lineRule="exact"/>
        <w:ind w:firstLine="560" w:firstLineChars="200"/>
        <w:rPr>
          <w:rFonts w:ascii="仿宋" w:hAnsi="仿宋" w:eastAsia="仿宋" w:cs="仿宋"/>
          <w:color w:val="000000"/>
          <w:sz w:val="28"/>
          <w:szCs w:val="28"/>
        </w:rPr>
      </w:pPr>
      <w:r>
        <w:rPr>
          <w:rFonts w:hint="eastAsia" w:ascii="仿宋" w:hAnsi="仿宋" w:eastAsia="仿宋" w:cs="仿宋"/>
          <w:color w:val="000000"/>
          <w:sz w:val="28"/>
          <w:szCs w:val="28"/>
        </w:rPr>
        <w:t>（三）未尽事宜，另行通知。</w:t>
      </w:r>
    </w:p>
    <w:sectPr>
      <w:footnotePr>
        <w:numRestart w:val="eachPage"/>
      </w:footnotePr>
      <w:type w:val="continuous"/>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78A"/>
    <w:rsid w:val="000012C8"/>
    <w:rsid w:val="00001E89"/>
    <w:rsid w:val="00026F96"/>
    <w:rsid w:val="00062E20"/>
    <w:rsid w:val="0007008B"/>
    <w:rsid w:val="00095DDF"/>
    <w:rsid w:val="000B0129"/>
    <w:rsid w:val="00120AF3"/>
    <w:rsid w:val="00167A6F"/>
    <w:rsid w:val="00171868"/>
    <w:rsid w:val="001B7C93"/>
    <w:rsid w:val="001C0439"/>
    <w:rsid w:val="001D01D5"/>
    <w:rsid w:val="001D40FE"/>
    <w:rsid w:val="001F64E3"/>
    <w:rsid w:val="00203C31"/>
    <w:rsid w:val="00217CA9"/>
    <w:rsid w:val="002278F5"/>
    <w:rsid w:val="00245981"/>
    <w:rsid w:val="0025711B"/>
    <w:rsid w:val="002642AA"/>
    <w:rsid w:val="0028640A"/>
    <w:rsid w:val="0029170F"/>
    <w:rsid w:val="002A225D"/>
    <w:rsid w:val="002C023D"/>
    <w:rsid w:val="002D6B5F"/>
    <w:rsid w:val="00311E33"/>
    <w:rsid w:val="0038156C"/>
    <w:rsid w:val="003852E2"/>
    <w:rsid w:val="003A6499"/>
    <w:rsid w:val="003C1301"/>
    <w:rsid w:val="003F0F3D"/>
    <w:rsid w:val="00431B88"/>
    <w:rsid w:val="0044278A"/>
    <w:rsid w:val="004503B6"/>
    <w:rsid w:val="00453DA5"/>
    <w:rsid w:val="004730CE"/>
    <w:rsid w:val="00482F14"/>
    <w:rsid w:val="00490039"/>
    <w:rsid w:val="004E07DD"/>
    <w:rsid w:val="004F6397"/>
    <w:rsid w:val="00502C77"/>
    <w:rsid w:val="00513272"/>
    <w:rsid w:val="0054790F"/>
    <w:rsid w:val="005546BA"/>
    <w:rsid w:val="005560BF"/>
    <w:rsid w:val="00562D59"/>
    <w:rsid w:val="0056642C"/>
    <w:rsid w:val="00566702"/>
    <w:rsid w:val="00574DF1"/>
    <w:rsid w:val="0058123B"/>
    <w:rsid w:val="005A28A7"/>
    <w:rsid w:val="005C68C0"/>
    <w:rsid w:val="005D1D29"/>
    <w:rsid w:val="005E49BF"/>
    <w:rsid w:val="005F4284"/>
    <w:rsid w:val="00607D0B"/>
    <w:rsid w:val="00635216"/>
    <w:rsid w:val="0067293C"/>
    <w:rsid w:val="0069097F"/>
    <w:rsid w:val="006B793D"/>
    <w:rsid w:val="006C168B"/>
    <w:rsid w:val="006E618D"/>
    <w:rsid w:val="00747CD5"/>
    <w:rsid w:val="00753C28"/>
    <w:rsid w:val="00766643"/>
    <w:rsid w:val="00772AD5"/>
    <w:rsid w:val="00782488"/>
    <w:rsid w:val="007A509E"/>
    <w:rsid w:val="007B12C3"/>
    <w:rsid w:val="007B392C"/>
    <w:rsid w:val="007C3CCA"/>
    <w:rsid w:val="007E4DA5"/>
    <w:rsid w:val="007E7029"/>
    <w:rsid w:val="00807B2C"/>
    <w:rsid w:val="008310E2"/>
    <w:rsid w:val="0085261D"/>
    <w:rsid w:val="0085385F"/>
    <w:rsid w:val="0085405A"/>
    <w:rsid w:val="00866312"/>
    <w:rsid w:val="00866809"/>
    <w:rsid w:val="008676BC"/>
    <w:rsid w:val="008874E3"/>
    <w:rsid w:val="008A6557"/>
    <w:rsid w:val="00903FAF"/>
    <w:rsid w:val="00931A9F"/>
    <w:rsid w:val="00932F71"/>
    <w:rsid w:val="00950112"/>
    <w:rsid w:val="00981015"/>
    <w:rsid w:val="009A406F"/>
    <w:rsid w:val="009C4E9E"/>
    <w:rsid w:val="009C6A4C"/>
    <w:rsid w:val="009D1F0C"/>
    <w:rsid w:val="009E1DDC"/>
    <w:rsid w:val="00A02F15"/>
    <w:rsid w:val="00A0637D"/>
    <w:rsid w:val="00A2793D"/>
    <w:rsid w:val="00A3316F"/>
    <w:rsid w:val="00A33184"/>
    <w:rsid w:val="00A73759"/>
    <w:rsid w:val="00AB233E"/>
    <w:rsid w:val="00AC0458"/>
    <w:rsid w:val="00AC1428"/>
    <w:rsid w:val="00AD1716"/>
    <w:rsid w:val="00AE0F71"/>
    <w:rsid w:val="00AF0492"/>
    <w:rsid w:val="00AF1112"/>
    <w:rsid w:val="00B01952"/>
    <w:rsid w:val="00B25925"/>
    <w:rsid w:val="00B41B96"/>
    <w:rsid w:val="00B66DC6"/>
    <w:rsid w:val="00B70F60"/>
    <w:rsid w:val="00B74E94"/>
    <w:rsid w:val="00B8348D"/>
    <w:rsid w:val="00B9051B"/>
    <w:rsid w:val="00B92601"/>
    <w:rsid w:val="00BC0971"/>
    <w:rsid w:val="00BC4E36"/>
    <w:rsid w:val="00BD284E"/>
    <w:rsid w:val="00BF352D"/>
    <w:rsid w:val="00BF7599"/>
    <w:rsid w:val="00BF763D"/>
    <w:rsid w:val="00BF7FD5"/>
    <w:rsid w:val="00C1739B"/>
    <w:rsid w:val="00C318CD"/>
    <w:rsid w:val="00C46E44"/>
    <w:rsid w:val="00C47337"/>
    <w:rsid w:val="00C6188E"/>
    <w:rsid w:val="00C92649"/>
    <w:rsid w:val="00CC36EA"/>
    <w:rsid w:val="00CD2073"/>
    <w:rsid w:val="00D248E0"/>
    <w:rsid w:val="00D550F0"/>
    <w:rsid w:val="00D61A1A"/>
    <w:rsid w:val="00DA31F9"/>
    <w:rsid w:val="00DB06C3"/>
    <w:rsid w:val="00DC47DC"/>
    <w:rsid w:val="00DD017B"/>
    <w:rsid w:val="00DE626C"/>
    <w:rsid w:val="00E04783"/>
    <w:rsid w:val="00E11C44"/>
    <w:rsid w:val="00E23ECA"/>
    <w:rsid w:val="00E41A54"/>
    <w:rsid w:val="00E54D9F"/>
    <w:rsid w:val="00E724EE"/>
    <w:rsid w:val="00E974A0"/>
    <w:rsid w:val="00EB3985"/>
    <w:rsid w:val="00ED114B"/>
    <w:rsid w:val="00F03ACB"/>
    <w:rsid w:val="00F11F71"/>
    <w:rsid w:val="00F12891"/>
    <w:rsid w:val="00F16E78"/>
    <w:rsid w:val="00F20FE9"/>
    <w:rsid w:val="00F451B7"/>
    <w:rsid w:val="00F52FCA"/>
    <w:rsid w:val="00F83C67"/>
    <w:rsid w:val="00F87B42"/>
    <w:rsid w:val="00F93AA1"/>
    <w:rsid w:val="122D52DF"/>
    <w:rsid w:val="15DF7B3C"/>
    <w:rsid w:val="2AC97C2B"/>
    <w:rsid w:val="2DA717B3"/>
    <w:rsid w:val="399530D6"/>
    <w:rsid w:val="4C3677AE"/>
    <w:rsid w:val="659C3DE6"/>
    <w:rsid w:val="6AE7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35"/>
    <w:rPr>
      <w:rFonts w:ascii="Cambria" w:hAnsi="Cambria" w:eastAsia="黑体" w:cs="宋体"/>
      <w:sz w:val="20"/>
      <w:szCs w:val="20"/>
    </w:rPr>
  </w:style>
  <w:style w:type="paragraph" w:styleId="3">
    <w:name w:val="annotation text"/>
    <w:basedOn w:val="1"/>
    <w:link w:val="20"/>
    <w:qFormat/>
    <w:uiPriority w:val="99"/>
    <w:pPr>
      <w:jc w:val="left"/>
    </w:pPr>
  </w:style>
  <w:style w:type="paragraph" w:styleId="4">
    <w:name w:val="endnote text"/>
    <w:basedOn w:val="1"/>
    <w:link w:val="23"/>
    <w:qFormat/>
    <w:uiPriority w:val="99"/>
    <w:pPr>
      <w:snapToGrid w:val="0"/>
      <w:jc w:val="left"/>
    </w:pPr>
  </w:style>
  <w:style w:type="paragraph" w:styleId="5">
    <w:name w:val="Balloon Text"/>
    <w:basedOn w:val="1"/>
    <w:link w:val="19"/>
    <w:qFormat/>
    <w:uiPriority w:val="99"/>
    <w:rPr>
      <w:sz w:val="18"/>
      <w:szCs w:val="18"/>
    </w:rPr>
  </w:style>
  <w:style w:type="paragraph" w:styleId="6">
    <w:name w:val="footer"/>
    <w:basedOn w:val="1"/>
    <w:link w:val="17"/>
    <w:qFormat/>
    <w:uiPriority w:val="99"/>
    <w:pPr>
      <w:tabs>
        <w:tab w:val="center" w:pos="4153"/>
        <w:tab w:val="right" w:pos="8306"/>
      </w:tabs>
      <w:snapToGrid w:val="0"/>
      <w:jc w:val="left"/>
    </w:pPr>
    <w:rPr>
      <w:sz w:val="18"/>
      <w:szCs w:val="18"/>
    </w:rPr>
  </w:style>
  <w:style w:type="paragraph" w:styleId="7">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22"/>
    <w:qFormat/>
    <w:uiPriority w:val="99"/>
    <w:pPr>
      <w:snapToGrid w:val="0"/>
      <w:jc w:val="left"/>
    </w:pPr>
    <w:rPr>
      <w:sz w:val="18"/>
      <w:szCs w:val="18"/>
    </w:rPr>
  </w:style>
  <w:style w:type="paragraph" w:styleId="9">
    <w:name w:val="annotation subject"/>
    <w:basedOn w:val="3"/>
    <w:next w:val="3"/>
    <w:link w:val="21"/>
    <w:qFormat/>
    <w:uiPriority w:val="99"/>
    <w:rPr>
      <w:b/>
      <w:bCs/>
    </w:rPr>
  </w:style>
  <w:style w:type="character" w:styleId="12">
    <w:name w:val="endnote reference"/>
    <w:basedOn w:val="11"/>
    <w:qFormat/>
    <w:uiPriority w:val="99"/>
    <w:rPr>
      <w:vertAlign w:val="superscript"/>
    </w:rPr>
  </w:style>
  <w:style w:type="character" w:styleId="13">
    <w:name w:val="Hyperlink"/>
    <w:basedOn w:val="11"/>
    <w:qFormat/>
    <w:uiPriority w:val="99"/>
    <w:rPr>
      <w:color w:val="0000FF"/>
      <w:u w:val="single"/>
    </w:rPr>
  </w:style>
  <w:style w:type="character" w:styleId="14">
    <w:name w:val="annotation reference"/>
    <w:basedOn w:val="11"/>
    <w:qFormat/>
    <w:uiPriority w:val="99"/>
    <w:rPr>
      <w:sz w:val="21"/>
      <w:szCs w:val="21"/>
    </w:rPr>
  </w:style>
  <w:style w:type="character" w:styleId="15">
    <w:name w:val="footnote reference"/>
    <w:basedOn w:val="11"/>
    <w:qFormat/>
    <w:uiPriority w:val="99"/>
    <w:rPr>
      <w:vertAlign w:val="superscript"/>
    </w:rPr>
  </w:style>
  <w:style w:type="character" w:customStyle="1" w:styleId="16">
    <w:name w:val="页眉 字符"/>
    <w:basedOn w:val="11"/>
    <w:link w:val="7"/>
    <w:qFormat/>
    <w:uiPriority w:val="99"/>
    <w:rPr>
      <w:rFonts w:ascii="Calibri" w:hAnsi="Calibri" w:eastAsia="宋体" w:cs="Times New Roman"/>
      <w:sz w:val="18"/>
      <w:szCs w:val="18"/>
    </w:rPr>
  </w:style>
  <w:style w:type="character" w:customStyle="1" w:styleId="17">
    <w:name w:val="页脚 字符"/>
    <w:basedOn w:val="11"/>
    <w:link w:val="6"/>
    <w:qFormat/>
    <w:uiPriority w:val="99"/>
    <w:rPr>
      <w:rFonts w:ascii="Calibri" w:hAnsi="Calibri" w:eastAsia="宋体" w:cs="Times New Roman"/>
      <w:sz w:val="18"/>
      <w:szCs w:val="18"/>
    </w:rPr>
  </w:style>
  <w:style w:type="paragraph" w:styleId="18">
    <w:name w:val="List Paragraph"/>
    <w:basedOn w:val="1"/>
    <w:qFormat/>
    <w:uiPriority w:val="34"/>
    <w:pPr>
      <w:ind w:firstLine="420" w:firstLineChars="200"/>
    </w:pPr>
  </w:style>
  <w:style w:type="character" w:customStyle="1" w:styleId="19">
    <w:name w:val="批注框文本 字符"/>
    <w:basedOn w:val="11"/>
    <w:link w:val="5"/>
    <w:qFormat/>
    <w:uiPriority w:val="99"/>
    <w:rPr>
      <w:rFonts w:ascii="Calibri" w:hAnsi="Calibri" w:eastAsia="宋体" w:cs="Times New Roman"/>
      <w:kern w:val="2"/>
      <w:sz w:val="18"/>
      <w:szCs w:val="18"/>
    </w:rPr>
  </w:style>
  <w:style w:type="character" w:customStyle="1" w:styleId="20">
    <w:name w:val="批注文字 字符"/>
    <w:basedOn w:val="11"/>
    <w:link w:val="3"/>
    <w:qFormat/>
    <w:uiPriority w:val="99"/>
    <w:rPr>
      <w:rFonts w:ascii="Calibri" w:hAnsi="Calibri" w:eastAsia="宋体" w:cs="Times New Roman"/>
      <w:kern w:val="2"/>
      <w:sz w:val="21"/>
      <w:szCs w:val="24"/>
    </w:rPr>
  </w:style>
  <w:style w:type="character" w:customStyle="1" w:styleId="21">
    <w:name w:val="批注主题 字符"/>
    <w:basedOn w:val="20"/>
    <w:link w:val="9"/>
    <w:qFormat/>
    <w:uiPriority w:val="0"/>
    <w:rPr>
      <w:rFonts w:ascii="Calibri" w:hAnsi="Calibri" w:eastAsia="宋体" w:cs="Times New Roman"/>
      <w:kern w:val="2"/>
      <w:sz w:val="21"/>
      <w:szCs w:val="24"/>
    </w:rPr>
  </w:style>
  <w:style w:type="character" w:customStyle="1" w:styleId="22">
    <w:name w:val="脚注文本 字符"/>
    <w:basedOn w:val="11"/>
    <w:link w:val="8"/>
    <w:qFormat/>
    <w:uiPriority w:val="99"/>
    <w:rPr>
      <w:rFonts w:ascii="Calibri" w:hAnsi="Calibri" w:eastAsia="宋体" w:cs="Times New Roman"/>
      <w:kern w:val="2"/>
      <w:sz w:val="18"/>
      <w:szCs w:val="18"/>
    </w:rPr>
  </w:style>
  <w:style w:type="character" w:customStyle="1" w:styleId="23">
    <w:name w:val="尾注文本 字符"/>
    <w:basedOn w:val="11"/>
    <w:link w:val="4"/>
    <w:qFormat/>
    <w:uiPriority w:val="99"/>
    <w:rPr>
      <w:rFonts w:ascii="Calibri" w:hAnsi="Calibri" w:eastAsia="宋体" w:cs="Times New Roman"/>
      <w:kern w:val="2"/>
      <w:sz w:val="21"/>
      <w:szCs w:val="24"/>
    </w:rPr>
  </w:style>
  <w:style w:type="paragraph" w:customStyle="1" w:styleId="24">
    <w:name w:val="Table Text"/>
    <w:basedOn w:val="1"/>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7289559d-0dfe-4740-8ca2-31de020ac6ee</errorID>
      <errorWord>(</errorWord>
      <group>L1_Format</group>
      <groupName>格式问题</groupName>
      <ability>L2_HalfPunc</ability>
      <abilityName>全半角检查</abilityName>
      <candidateList>
        <item>（</item>
      </candidateList>
      <explain>文本全半角错误。</explain>
      <paraID>2D1CFD2D</paraID>
      <start>6</start>
      <end>7</end>
      <status>unmodified</status>
      <modifiedWord/>
      <trackRevisions>false</trackRevisions>
    </reviewItem>
    <reviewItem>
      <errorID>7564726c-8a88-46fd-af50-caf8070306a5</errorID>
      <errorWord>)</errorWord>
      <group>L1_Format</group>
      <groupName>格式问题</groupName>
      <ability>L2_HalfPunc</ability>
      <abilityName>全半角检查</abilityName>
      <candidateList>
        <item>）</item>
      </candidateList>
      <explain>文本全半角错误。</explain>
      <paraID>2D1CFD2D</paraID>
      <start>11</start>
      <end>12</end>
      <status>unmodified</status>
      <modifiedWord/>
      <trackRevisions>false</trackRevisions>
    </reviewItem>
    <reviewItem>
      <errorID>a93905b0-75f3-44e3-9dab-fcb593d0a656</errorID>
      <errorWord>(</errorWord>
      <group>L1_Format</group>
      <groupName>格式问题</groupName>
      <ability>L2_HalfPunc</ability>
      <abilityName>全半角检查</abilityName>
      <candidateList>
        <item>（</item>
      </candidateList>
      <explain>文本全半角错误。</explain>
      <paraID> D779A79</paraID>
      <start>16</start>
      <end>17</end>
      <status>unmodified</status>
      <modifiedWord/>
      <trackRevisions>false</trackRevisions>
    </reviewItem>
    <reviewItem>
      <errorID>9190d1fa-682b-41e9-8948-12d0c2d6750b</errorID>
      <errorWord>)</errorWord>
      <group>L1_Format</group>
      <groupName>格式问题</groupName>
      <ability>L2_HalfPunc</ability>
      <abilityName>全半角检查</abilityName>
      <candidateList>
        <item>）</item>
      </candidateList>
      <explain>文本全半角错误。</explain>
      <paraID> D779A79</paraID>
      <start>22</start>
      <end>23</end>
      <status>unmodified</status>
      <modifiedWord/>
      <trackRevisions>false</trackRevisions>
    </reviewItem>
    <reviewItem>
      <errorID>99ddfa85-af39-4d0f-9b1e-7cf9f385a50e</errorID>
      <errorWord>)</errorWord>
      <group>L1_Format</group>
      <groupName>格式问题</groupName>
      <ability>L2_HalfPunc</ability>
      <abilityName>全半角检查</abilityName>
      <candidateList>
        <item>）</item>
      </candidateList>
      <explain>文本全半角错误。</explain>
      <paraID>6ECD71AF</paraID>
      <start>6</start>
      <end>7</end>
      <status>unmodified</status>
      <modifiedWord/>
      <trackRevisions>false</trackRevisions>
    </reviewItem>
  </reviewItems>
  <config/>
</contractReview>
</file>

<file path=customXml/item2.xml><?xml version="1.0" encoding="utf-8"?>
<b:Sources xmlns:b="http://schemas.openxmlformats.org/officeDocument/2006/bibliography" xmlns="http://schemas.openxmlformats.org/officeDocument/2006/bibliography" SelectedStyle="\APASixthEditionOfficeOnline.xsl" StyleName="APA" Version="6">
  <b:Source>
    <b:Tag>通过公</b:Tag>
    <b:SourceType>Book</b:SourceType>
    <b:Guid>{82C0E58A-A785-48EF-9EC2-E60ACD13410E}</b:Guid>
    <b:Author>
      <b:Author>
        <b:NameList>
          <b:Person>
            <b:Last>通过公开申办，受主办方直接委托或管辖，直接参与赛事执行</b:Last>
          </b:Person>
        </b:NameList>
      </b:Author>
    </b:Author>
    <b:RefOrder>2</b:RefOrder>
  </b:Source>
  <b:Source>
    <b:Tag>通过公1</b:Tag>
    <b:SourceType>Book</b:SourceType>
    <b:Guid>{6737C864-A0B9-4D0D-904E-A66A7D59E19E}</b:Guid>
    <b:Author>
      <b:Author>
        <b:NameList>
          <b:Person>
            <b:Last>通过公开申办，受主办方直接委托或管辖，直接参与赛事执行</b:Last>
          </b:Person>
        </b:NameList>
      </b:Author>
    </b:Author>
    <b:RefOrder>1</b:RefOrder>
  </b:Source>
</b:Sources>
</file>

<file path=customXml/itemProps1.xml><?xml version="1.0" encoding="utf-8"?>
<ds:datastoreItem xmlns:ds="http://schemas.openxmlformats.org/officeDocument/2006/customXml" ds:itemID="{33F61D48-2B8E-4958-8BFA-8A2501A1CF9E}">
  <ds:schemaRefs/>
</ds:datastoreItem>
</file>

<file path=customXml/itemProps2.xml><?xml version="1.0" encoding="utf-8"?>
<ds:datastoreItem xmlns:ds="http://schemas.openxmlformats.org/officeDocument/2006/customXml" ds:itemID="{625654C5-9F47-415F-B547-D9502E78804C}">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5</Pages>
  <Words>2304</Words>
  <Characters>2413</Characters>
  <Lines>17</Lines>
  <Paragraphs>4</Paragraphs>
  <TotalTime>412</TotalTime>
  <ScaleCrop>false</ScaleCrop>
  <LinksUpToDate>false</LinksUpToDate>
  <CharactersWithSpaces>2416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2022-01-21T06:02:00Z</dcterms:created>
  <dc:creator>微软中国</dc:creator>
  <cp:lastModifiedBy>Xiangyou</cp:lastModifiedBy>
  <cp:lastPrinted>2025-12-17T07:37:00Z</cp:lastPrinted>
  <dcterms:modified xsi:type="dcterms:W3CDTF">2026-05-06T09:28:59Z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064F46007B594BA58BA499EBE45CE2A6_13</vt:lpwstr>
  </property>
  <property fmtid="{D5CDD505-2E9C-101B-9397-08002B2CF9AE}" pid="4" name="KSOTemplateDocerSaveRecord">
    <vt:lpwstr>eyJoZGlkIjoiNjA2NmNjZDM3NzUzZGJhY2I3OTc1NzBkNDI5NDdhNTkiLCJ1c2VySWQiOiIxNDQ2MzUxODYzIn0=</vt:lpwstr>
  </property>
</Properties>
</file>