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w:t>
      </w:r>
      <w:r>
        <w:rPr>
          <w:rFonts w:hint="eastAsia" w:ascii="宋体" w:hAnsi="宋体" w:cs="宋体"/>
          <w:b/>
          <w:bCs/>
          <w:sz w:val="36"/>
          <w:szCs w:val="36"/>
          <w:lang w:val="en-US" w:eastAsia="zh-CN"/>
        </w:rPr>
        <w:t>冰球</w:t>
      </w:r>
      <w:r>
        <w:rPr>
          <w:rFonts w:hint="eastAsia" w:ascii="宋体" w:hAnsi="宋体" w:cs="宋体"/>
          <w:b/>
          <w:bCs/>
          <w:sz w:val="36"/>
          <w:szCs w:val="36"/>
        </w:rPr>
        <w:t>比赛（青少年组）</w:t>
      </w:r>
    </w:p>
    <w:p w14:paraId="3E62A443">
      <w:pPr>
        <w:snapToGrid w:val="0"/>
        <w:spacing w:line="540" w:lineRule="exact"/>
        <w:jc w:val="center"/>
        <w:rPr>
          <w:rFonts w:hint="eastAsia" w:ascii="宋体" w:hAnsi="宋体" w:cs="宋体"/>
          <w:b/>
          <w:bCs/>
          <w:sz w:val="36"/>
          <w:szCs w:val="36"/>
        </w:rPr>
      </w:pPr>
      <w:r>
        <w:rPr>
          <w:rFonts w:hint="eastAsia" w:ascii="宋体" w:hAnsi="宋体" w:cs="宋体"/>
          <w:b/>
          <w:bCs/>
          <w:sz w:val="36"/>
          <w:szCs w:val="36"/>
        </w:rPr>
        <w:t>竞赛规程</w:t>
      </w:r>
    </w:p>
    <w:p w14:paraId="2172C110">
      <w:pPr>
        <w:snapToGrid w:val="0"/>
        <w:spacing w:line="540" w:lineRule="exact"/>
        <w:jc w:val="center"/>
        <w:rPr>
          <w:rFonts w:hint="eastAsia" w:ascii="宋体" w:hAnsi="宋体" w:cs="宋体"/>
          <w:b/>
          <w:bCs/>
          <w:sz w:val="36"/>
          <w:szCs w:val="36"/>
        </w:rPr>
      </w:pPr>
    </w:p>
    <w:p w14:paraId="04E86CB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sz w:val="28"/>
          <w:szCs w:val="28"/>
        </w:rPr>
        <w:t>一、主办单位：</w:t>
      </w:r>
      <w:r>
        <w:rPr>
          <w:rFonts w:hint="eastAsia" w:ascii="仿宋" w:hAnsi="仿宋" w:eastAsia="仿宋" w:cs="仿宋"/>
          <w:sz w:val="28"/>
          <w:szCs w:val="28"/>
        </w:rPr>
        <w:t>上海市体育</w:t>
      </w:r>
      <w:r>
        <w:rPr>
          <w:rFonts w:hint="eastAsia" w:ascii="仿宋" w:hAnsi="仿宋" w:eastAsia="仿宋" w:cs="仿宋"/>
          <w:sz w:val="28"/>
          <w:szCs w:val="28"/>
          <w:highlight w:val="none"/>
        </w:rPr>
        <w:t>局、上海市教育委员会</w:t>
      </w:r>
    </w:p>
    <w:p w14:paraId="7807E751">
      <w:pPr>
        <w:adjustRightInd w:val="0"/>
        <w:snapToGrid w:val="0"/>
        <w:spacing w:line="540" w:lineRule="exact"/>
        <w:ind w:firstLine="562" w:firstLineChars="200"/>
        <w:rPr>
          <w:rFonts w:hint="default" w:ascii="仿宋" w:hAnsi="仿宋" w:eastAsia="仿宋" w:cs="仿宋"/>
          <w:sz w:val="28"/>
          <w:szCs w:val="28"/>
          <w:highlight w:val="none"/>
          <w:lang w:val="en-US" w:eastAsia="zh-CN"/>
        </w:rPr>
      </w:pPr>
      <w:r>
        <w:rPr>
          <w:rFonts w:hint="eastAsia" w:ascii="仿宋" w:hAnsi="仿宋" w:eastAsia="仿宋" w:cs="仿宋"/>
          <w:b/>
          <w:sz w:val="28"/>
          <w:szCs w:val="28"/>
          <w:highlight w:val="none"/>
        </w:rPr>
        <w:t>二、承办单位：</w:t>
      </w:r>
      <w:r>
        <w:rPr>
          <w:rFonts w:hint="eastAsia" w:ascii="仿宋" w:hAnsi="仿宋" w:eastAsia="仿宋" w:cs="仿宋"/>
          <w:sz w:val="28"/>
          <w:szCs w:val="28"/>
          <w:highlight w:val="none"/>
          <w:lang w:val="en-US" w:eastAsia="zh-CN"/>
        </w:rPr>
        <w:t>上海市浦东新区文化体育和旅游局</w:t>
      </w:r>
    </w:p>
    <w:p w14:paraId="74B42353">
      <w:pPr>
        <w:adjustRightInd w:val="0"/>
        <w:snapToGrid w:val="0"/>
        <w:spacing w:line="540" w:lineRule="exact"/>
        <w:ind w:firstLine="2520" w:firstLineChars="9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上海市冰雪运动协会</w:t>
      </w:r>
    </w:p>
    <w:p w14:paraId="2F518C63">
      <w:pPr>
        <w:adjustRightInd w:val="0"/>
        <w:snapToGrid w:val="0"/>
        <w:spacing w:line="540" w:lineRule="exact"/>
        <w:ind w:firstLine="2520" w:firstLineChars="900"/>
        <w:rPr>
          <w:rFonts w:hint="default"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上海星扬体育文化发展有限公司</w:t>
      </w:r>
    </w:p>
    <w:p w14:paraId="28449BED">
      <w:pPr>
        <w:adjustRightInd w:val="0"/>
        <w:snapToGrid w:val="0"/>
        <w:spacing w:line="540" w:lineRule="exact"/>
        <w:ind w:firstLine="562" w:firstLineChars="200"/>
        <w:rPr>
          <w:rFonts w:hint="eastAsia" w:ascii="仿宋" w:hAnsi="仿宋" w:eastAsia="仿宋" w:cs="仿宋"/>
          <w:sz w:val="28"/>
          <w:szCs w:val="28"/>
          <w:highlight w:val="none"/>
        </w:rPr>
      </w:pPr>
      <w:r>
        <w:rPr>
          <w:rFonts w:hint="eastAsia" w:ascii="仿宋" w:hAnsi="仿宋" w:eastAsia="仿宋" w:cs="仿宋"/>
          <w:b/>
          <w:sz w:val="28"/>
          <w:szCs w:val="28"/>
          <w:highlight w:val="none"/>
          <w:lang w:eastAsia="zh-CN"/>
        </w:rPr>
        <w:t>三</w:t>
      </w:r>
      <w:r>
        <w:rPr>
          <w:rFonts w:hint="eastAsia" w:ascii="仿宋" w:hAnsi="仿宋" w:eastAsia="仿宋" w:cs="仿宋"/>
          <w:b/>
          <w:sz w:val="28"/>
          <w:szCs w:val="28"/>
          <w:highlight w:val="none"/>
        </w:rPr>
        <w:t>、竞赛日期：</w:t>
      </w:r>
      <w:r>
        <w:rPr>
          <w:rFonts w:hint="eastAsia" w:ascii="仿宋" w:hAnsi="仿宋" w:eastAsia="仿宋" w:cs="仿宋"/>
          <w:sz w:val="28"/>
          <w:szCs w:val="28"/>
          <w:highlight w:val="none"/>
        </w:rPr>
        <w:t>2026年</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17</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18</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24</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日</w:t>
      </w:r>
    </w:p>
    <w:p w14:paraId="5709243A">
      <w:pPr>
        <w:adjustRightInd w:val="0"/>
        <w:snapToGrid w:val="0"/>
        <w:spacing w:line="540" w:lineRule="exact"/>
        <w:ind w:firstLine="562" w:firstLineChars="200"/>
        <w:rPr>
          <w:rFonts w:hint="default" w:ascii="仿宋" w:hAnsi="仿宋" w:eastAsia="仿宋" w:cs="仿宋"/>
          <w:sz w:val="28"/>
          <w:szCs w:val="28"/>
          <w:highlight w:val="none"/>
          <w:lang w:val="en-US"/>
        </w:rPr>
      </w:pP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、竞赛地点：</w:t>
      </w:r>
      <w:r>
        <w:rPr>
          <w:rFonts w:hint="eastAsia" w:ascii="仿宋" w:hAnsi="仿宋" w:eastAsia="仿宋" w:cs="仿宋"/>
          <w:sz w:val="28"/>
          <w:szCs w:val="28"/>
          <w:highlight w:val="none"/>
          <w:lang w:val="en-US" w:eastAsia="zh-CN"/>
        </w:rPr>
        <w:t>浦东新区飞扬冰上运动中心（上海市浦东新区云莲路201号）</w:t>
      </w:r>
    </w:p>
    <w:p w14:paraId="729DDC00">
      <w:pPr>
        <w:adjustRightInd w:val="0"/>
        <w:snapToGrid w:val="0"/>
        <w:spacing w:line="540" w:lineRule="exact"/>
        <w:ind w:firstLine="562" w:firstLineChars="200"/>
        <w:rPr>
          <w:rFonts w:ascii="仿宋" w:hAnsi="仿宋" w:eastAsia="仿宋" w:cs="仿宋"/>
          <w:sz w:val="28"/>
          <w:szCs w:val="28"/>
          <w:highlight w:val="none"/>
        </w:rPr>
      </w:pPr>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、参赛单位</w:t>
      </w:r>
      <w:r>
        <w:rPr>
          <w:rFonts w:hint="eastAsia" w:ascii="仿宋" w:hAnsi="仿宋" w:eastAsia="仿宋" w:cs="仿宋"/>
          <w:sz w:val="28"/>
          <w:szCs w:val="28"/>
          <w:highlight w:val="none"/>
        </w:rPr>
        <w:t>：本市各区</w:t>
      </w:r>
    </w:p>
    <w:p w14:paraId="2D0DDFC4">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、年龄组别和小项设置</w:t>
      </w:r>
    </w:p>
    <w:tbl>
      <w:tblPr>
        <w:tblStyle w:val="12"/>
        <w:tblW w:w="8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1898"/>
        <w:gridCol w:w="917"/>
        <w:gridCol w:w="2179"/>
        <w:gridCol w:w="2283"/>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741" w:type="dxa"/>
            <w:tcBorders>
              <w:top w:val="single" w:color="000000" w:sz="6" w:space="0"/>
              <w:left w:val="single" w:color="000000" w:sz="6" w:space="0"/>
              <w:bottom w:val="nil"/>
              <w:right w:val="single" w:color="000000" w:sz="6" w:space="0"/>
            </w:tcBorders>
            <w:vAlign w:val="center"/>
          </w:tcPr>
          <w:p w14:paraId="084E2E1C">
            <w:pPr>
              <w:ind w:left="9"/>
              <w:jc w:val="center"/>
              <w:rPr>
                <w:rFonts w:ascii="仿宋" w:hAnsi="仿宋" w:eastAsia="仿宋" w:cs="仿宋"/>
                <w:szCs w:val="21"/>
                <w:highlight w:val="none"/>
              </w:rPr>
            </w:pPr>
            <w:r>
              <w:rPr>
                <w:rFonts w:hint="eastAsia" w:ascii="仿宋" w:hAnsi="仿宋" w:eastAsia="仿宋" w:cs="仿宋"/>
                <w:b/>
                <w:bCs/>
                <w:szCs w:val="21"/>
                <w:highlight w:val="none"/>
              </w:rPr>
              <w:t>组别</w:t>
            </w:r>
          </w:p>
        </w:tc>
        <w:tc>
          <w:tcPr>
            <w:tcW w:w="1898" w:type="dxa"/>
            <w:tcBorders>
              <w:top w:val="single" w:color="000000" w:sz="6" w:space="0"/>
              <w:left w:val="single" w:color="000000" w:sz="6" w:space="0"/>
              <w:bottom w:val="nil"/>
              <w:right w:val="single" w:color="000000" w:sz="6" w:space="0"/>
            </w:tcBorders>
            <w:vAlign w:val="center"/>
          </w:tcPr>
          <w:p w14:paraId="3A4B9BB9">
            <w:pPr>
              <w:ind w:left="23"/>
              <w:jc w:val="center"/>
              <w:rPr>
                <w:rFonts w:ascii="仿宋" w:hAnsi="仿宋" w:eastAsia="仿宋" w:cs="仿宋"/>
                <w:szCs w:val="21"/>
                <w:highlight w:val="none"/>
              </w:rPr>
            </w:pPr>
            <w:r>
              <w:rPr>
                <w:rFonts w:hint="eastAsia" w:ascii="仿宋" w:hAnsi="仿宋" w:eastAsia="仿宋" w:cs="仿宋"/>
                <w:b/>
                <w:bCs/>
                <w:szCs w:val="21"/>
                <w:highlight w:val="none"/>
              </w:rPr>
              <w:t>年龄段</w:t>
            </w:r>
          </w:p>
        </w:tc>
        <w:tc>
          <w:tcPr>
            <w:tcW w:w="917" w:type="dxa"/>
            <w:tcBorders>
              <w:top w:val="single" w:color="000000" w:sz="6" w:space="0"/>
              <w:left w:val="single" w:color="000000" w:sz="6" w:space="0"/>
              <w:bottom w:val="nil"/>
              <w:right w:val="single" w:color="000000" w:sz="6" w:space="0"/>
            </w:tcBorders>
            <w:vAlign w:val="center"/>
          </w:tcPr>
          <w:p w14:paraId="01A1E0DA">
            <w:pPr>
              <w:ind w:left="49"/>
              <w:jc w:val="center"/>
              <w:rPr>
                <w:rFonts w:ascii="仿宋" w:hAnsi="仿宋" w:eastAsia="仿宋" w:cs="仿宋"/>
                <w:szCs w:val="21"/>
                <w:highlight w:val="none"/>
              </w:rPr>
            </w:pPr>
            <w:r>
              <w:rPr>
                <w:rFonts w:hint="eastAsia" w:ascii="仿宋" w:hAnsi="仿宋" w:eastAsia="仿宋" w:cs="仿宋"/>
                <w:b/>
                <w:bCs/>
                <w:szCs w:val="21"/>
                <w:highlight w:val="none"/>
              </w:rPr>
              <w:t>设项数</w:t>
            </w:r>
          </w:p>
        </w:tc>
        <w:tc>
          <w:tcPr>
            <w:tcW w:w="2179" w:type="dxa"/>
            <w:tcBorders>
              <w:top w:val="single" w:color="000000" w:sz="6" w:space="0"/>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Cs w:val="21"/>
                <w:highlight w:val="none"/>
              </w:rPr>
            </w:pPr>
            <w:r>
              <w:rPr>
                <w:rFonts w:hint="eastAsia" w:ascii="仿宋" w:hAnsi="仿宋" w:eastAsia="仿宋" w:cs="仿宋"/>
                <w:b/>
                <w:bCs/>
                <w:szCs w:val="21"/>
                <w:highlight w:val="none"/>
              </w:rPr>
              <w:t>男子</w:t>
            </w:r>
          </w:p>
        </w:tc>
        <w:tc>
          <w:tcPr>
            <w:tcW w:w="2283" w:type="dxa"/>
            <w:tcBorders>
              <w:top w:val="single" w:color="000000" w:sz="6" w:space="0"/>
              <w:left w:val="single" w:color="000000" w:sz="6" w:space="0"/>
              <w:bottom w:val="single" w:color="000000" w:sz="6" w:space="0"/>
              <w:right w:val="single" w:color="000000" w:sz="6" w:space="0"/>
            </w:tcBorders>
            <w:vAlign w:val="center"/>
          </w:tcPr>
          <w:p w14:paraId="205F460C">
            <w:pPr>
              <w:ind w:left="9"/>
              <w:jc w:val="center"/>
              <w:rPr>
                <w:rFonts w:ascii="仿宋" w:hAnsi="仿宋" w:eastAsia="仿宋" w:cs="仿宋"/>
                <w:b/>
                <w:bCs/>
                <w:szCs w:val="21"/>
                <w:highlight w:val="none"/>
              </w:rPr>
            </w:pPr>
            <w:r>
              <w:rPr>
                <w:rFonts w:hint="eastAsia" w:ascii="仿宋" w:hAnsi="仿宋" w:eastAsia="仿宋" w:cs="仿宋"/>
                <w:b/>
                <w:bCs/>
                <w:szCs w:val="21"/>
                <w:highlight w:val="none"/>
              </w:rPr>
              <w:t>女子</w:t>
            </w:r>
          </w:p>
        </w:tc>
      </w:tr>
      <w:tr w14:paraId="20656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3" w:hRule="atLeast"/>
          <w:jc w:val="center"/>
        </w:trPr>
        <w:tc>
          <w:tcPr>
            <w:tcW w:w="741" w:type="dxa"/>
            <w:tcBorders>
              <w:top w:val="single" w:color="000000" w:sz="6" w:space="0"/>
              <w:left w:val="single" w:color="000000" w:sz="6" w:space="0"/>
              <w:bottom w:val="nil"/>
              <w:right w:val="single" w:color="000000" w:sz="6" w:space="0"/>
            </w:tcBorders>
            <w:vAlign w:val="center"/>
          </w:tcPr>
          <w:p w14:paraId="169B04CF">
            <w:pPr>
              <w:jc w:val="center"/>
              <w:rPr>
                <w:rFonts w:ascii="仿宋" w:hAnsi="仿宋" w:eastAsia="仿宋" w:cs="仿宋"/>
                <w:szCs w:val="21"/>
                <w:highlight w:val="none"/>
              </w:rPr>
            </w:pPr>
            <w:r>
              <w:rPr>
                <w:rFonts w:hint="eastAsia" w:ascii="仿宋" w:hAnsi="仿宋" w:eastAsia="仿宋" w:cs="仿宋"/>
                <w:szCs w:val="21"/>
                <w:highlight w:val="none"/>
              </w:rPr>
              <w:t>A</w:t>
            </w:r>
          </w:p>
        </w:tc>
        <w:tc>
          <w:tcPr>
            <w:tcW w:w="1898" w:type="dxa"/>
            <w:tcBorders>
              <w:top w:val="single" w:color="000000" w:sz="6" w:space="0"/>
              <w:left w:val="single" w:color="000000" w:sz="6" w:space="0"/>
              <w:bottom w:val="nil"/>
              <w:right w:val="single" w:color="000000" w:sz="6" w:space="0"/>
            </w:tcBorders>
            <w:vAlign w:val="center"/>
          </w:tcPr>
          <w:p w14:paraId="541424E2">
            <w:pPr>
              <w:ind w:left="163"/>
              <w:jc w:val="center"/>
              <w:rPr>
                <w:rFonts w:ascii="仿宋" w:hAnsi="仿宋" w:eastAsia="仿宋" w:cs="仿宋"/>
                <w:szCs w:val="21"/>
                <w:highlight w:val="none"/>
              </w:rPr>
            </w:pPr>
            <w:r>
              <w:rPr>
                <w:rFonts w:hint="eastAsia" w:ascii="仿宋" w:hAnsi="仿宋" w:eastAsia="仿宋" w:cs="仿宋"/>
                <w:szCs w:val="21"/>
                <w:highlight w:val="none"/>
                <w:lang w:val="en-US" w:eastAsia="zh-CN"/>
              </w:rPr>
              <w:t>11</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.1-1</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.12.31</w:t>
            </w:r>
          </w:p>
        </w:tc>
        <w:tc>
          <w:tcPr>
            <w:tcW w:w="917" w:type="dxa"/>
            <w:tcBorders>
              <w:top w:val="single" w:color="000000" w:sz="6" w:space="0"/>
              <w:left w:val="single" w:color="000000" w:sz="6" w:space="0"/>
              <w:bottom w:val="nil"/>
              <w:right w:val="single" w:color="000000" w:sz="6" w:space="0"/>
            </w:tcBorders>
            <w:vAlign w:val="center"/>
          </w:tcPr>
          <w:p w14:paraId="23D7DEF9">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2179" w:type="dxa"/>
            <w:tcBorders>
              <w:top w:val="single" w:color="000000" w:sz="6" w:space="0"/>
              <w:left w:val="single" w:color="000000" w:sz="6" w:space="0"/>
              <w:bottom w:val="single" w:color="000000" w:sz="6" w:space="0"/>
              <w:right w:val="single" w:color="000000" w:sz="6" w:space="0"/>
            </w:tcBorders>
            <w:vAlign w:val="center"/>
          </w:tcPr>
          <w:p w14:paraId="1380AA54">
            <w:pPr>
              <w:ind w:left="73" w:leftChars="35"/>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冰球</w:t>
            </w:r>
          </w:p>
        </w:tc>
        <w:tc>
          <w:tcPr>
            <w:tcW w:w="2283" w:type="dxa"/>
            <w:tcBorders>
              <w:top w:val="single" w:color="000000" w:sz="6" w:space="0"/>
              <w:left w:val="single" w:color="000000" w:sz="6" w:space="0"/>
              <w:bottom w:val="single" w:color="000000" w:sz="6" w:space="0"/>
              <w:right w:val="single" w:color="000000" w:sz="6" w:space="0"/>
            </w:tcBorders>
            <w:vAlign w:val="center"/>
          </w:tcPr>
          <w:p w14:paraId="2A2D215B">
            <w:pPr>
              <w:ind w:left="73" w:leftChars="35"/>
              <w:jc w:val="center"/>
              <w:rPr>
                <w:rFonts w:hint="eastAsia" w:ascii="仿宋" w:hAnsi="仿宋" w:eastAsia="仿宋" w:cs="仿宋"/>
                <w:szCs w:val="21"/>
                <w:highlight w:val="none"/>
                <w:lang w:val="en-US" w:eastAsia="zh-CN"/>
              </w:rPr>
            </w:pPr>
            <w:r>
              <w:rPr>
                <w:rFonts w:hint="eastAsia" w:ascii="仿宋" w:hAnsi="仿宋" w:eastAsia="仿宋" w:cs="仿宋"/>
                <w:spacing w:val="-1"/>
                <w:szCs w:val="21"/>
                <w:highlight w:val="none"/>
                <w:lang w:val="en-US" w:eastAsia="zh-CN"/>
              </w:rPr>
              <w:t>-</w:t>
            </w:r>
          </w:p>
        </w:tc>
      </w:tr>
      <w:tr w14:paraId="10461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8" w:hRule="atLeast"/>
          <w:jc w:val="center"/>
        </w:trPr>
        <w:tc>
          <w:tcPr>
            <w:tcW w:w="741" w:type="dxa"/>
            <w:tcBorders>
              <w:top w:val="single" w:color="000000" w:sz="6" w:space="0"/>
              <w:left w:val="single" w:color="000000" w:sz="6" w:space="0"/>
              <w:bottom w:val="nil"/>
              <w:right w:val="single" w:color="000000" w:sz="6" w:space="0"/>
            </w:tcBorders>
            <w:vAlign w:val="center"/>
          </w:tcPr>
          <w:p w14:paraId="7B61FF29">
            <w:pPr>
              <w:jc w:val="center"/>
              <w:rPr>
                <w:rFonts w:ascii="仿宋" w:hAnsi="仿宋" w:eastAsia="仿宋" w:cs="仿宋"/>
                <w:szCs w:val="21"/>
                <w:highlight w:val="none"/>
              </w:rPr>
            </w:pPr>
            <w:r>
              <w:rPr>
                <w:rFonts w:hint="eastAsia" w:ascii="仿宋" w:hAnsi="仿宋" w:eastAsia="仿宋" w:cs="仿宋"/>
                <w:szCs w:val="21"/>
                <w:highlight w:val="none"/>
              </w:rPr>
              <w:t>B</w:t>
            </w:r>
          </w:p>
        </w:tc>
        <w:tc>
          <w:tcPr>
            <w:tcW w:w="1898" w:type="dxa"/>
            <w:tcBorders>
              <w:top w:val="single" w:color="000000" w:sz="6" w:space="0"/>
              <w:left w:val="single" w:color="000000" w:sz="6" w:space="0"/>
              <w:bottom w:val="nil"/>
              <w:right w:val="single" w:color="000000" w:sz="6" w:space="0"/>
            </w:tcBorders>
            <w:vAlign w:val="center"/>
          </w:tcPr>
          <w:p w14:paraId="7986CAF1">
            <w:pPr>
              <w:ind w:left="177"/>
              <w:jc w:val="center"/>
              <w:rPr>
                <w:rFonts w:ascii="仿宋" w:hAnsi="仿宋" w:eastAsia="仿宋" w:cs="仿宋"/>
                <w:szCs w:val="21"/>
                <w:highlight w:val="none"/>
              </w:rPr>
            </w:pPr>
            <w:r>
              <w:rPr>
                <w:rFonts w:hint="eastAsia" w:ascii="仿宋" w:hAnsi="仿宋" w:eastAsia="仿宋" w:cs="仿宋"/>
                <w:spacing w:val="-1"/>
                <w:szCs w:val="21"/>
                <w:highlight w:val="none"/>
              </w:rPr>
              <w:t>1</w:t>
            </w:r>
            <w:r>
              <w:rPr>
                <w:rFonts w:hint="eastAsia" w:ascii="仿宋" w:hAnsi="仿宋" w:eastAsia="仿宋" w:cs="仿宋"/>
                <w:spacing w:val="-1"/>
                <w:szCs w:val="21"/>
                <w:highlight w:val="none"/>
                <w:lang w:val="en-US" w:eastAsia="zh-CN"/>
              </w:rPr>
              <w:t>4</w:t>
            </w:r>
            <w:r>
              <w:rPr>
                <w:rFonts w:hint="eastAsia" w:ascii="仿宋" w:hAnsi="仿宋" w:eastAsia="仿宋" w:cs="仿宋"/>
                <w:spacing w:val="-1"/>
                <w:szCs w:val="21"/>
                <w:highlight w:val="none"/>
              </w:rPr>
              <w:t>.1.1-1</w:t>
            </w:r>
            <w:r>
              <w:rPr>
                <w:rFonts w:hint="eastAsia" w:ascii="仿宋" w:hAnsi="仿宋" w:eastAsia="仿宋" w:cs="仿宋"/>
                <w:spacing w:val="-1"/>
                <w:szCs w:val="21"/>
                <w:highlight w:val="none"/>
                <w:lang w:val="en-US" w:eastAsia="zh-CN"/>
              </w:rPr>
              <w:t>5</w:t>
            </w:r>
            <w:r>
              <w:rPr>
                <w:rFonts w:hint="eastAsia" w:ascii="仿宋" w:hAnsi="仿宋" w:eastAsia="仿宋" w:cs="仿宋"/>
                <w:spacing w:val="-1"/>
                <w:szCs w:val="21"/>
                <w:highlight w:val="none"/>
              </w:rPr>
              <w:t>.12.31</w:t>
            </w:r>
          </w:p>
        </w:tc>
        <w:tc>
          <w:tcPr>
            <w:tcW w:w="917" w:type="dxa"/>
            <w:tcBorders>
              <w:top w:val="single" w:color="000000" w:sz="6" w:space="0"/>
              <w:left w:val="single" w:color="000000" w:sz="6" w:space="0"/>
              <w:bottom w:val="nil"/>
              <w:right w:val="single" w:color="000000" w:sz="6" w:space="0"/>
            </w:tcBorders>
            <w:vAlign w:val="center"/>
          </w:tcPr>
          <w:p w14:paraId="432473EA">
            <w:pPr>
              <w:spacing w:before="59"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2179" w:type="dxa"/>
            <w:tcBorders>
              <w:top w:val="single" w:color="000000" w:sz="6" w:space="0"/>
              <w:left w:val="single" w:color="000000" w:sz="6" w:space="0"/>
              <w:bottom w:val="single" w:color="000000" w:sz="6" w:space="0"/>
              <w:right w:val="single" w:color="000000" w:sz="6" w:space="0"/>
            </w:tcBorders>
            <w:vAlign w:val="center"/>
          </w:tcPr>
          <w:p w14:paraId="66F26C39">
            <w:pPr>
              <w:ind w:left="73" w:leftChars="35"/>
              <w:jc w:val="center"/>
              <w:rPr>
                <w:rFonts w:hint="eastAsia" w:ascii="仿宋" w:hAnsi="仿宋" w:eastAsia="仿宋" w:cs="仿宋"/>
                <w:szCs w:val="21"/>
                <w:highlight w:val="none"/>
                <w:lang w:eastAsia="zh-CN"/>
              </w:rPr>
            </w:pPr>
            <w:r>
              <w:rPr>
                <w:rFonts w:hint="eastAsia" w:ascii="仿宋" w:hAnsi="仿宋" w:eastAsia="仿宋" w:cs="仿宋"/>
                <w:spacing w:val="-1"/>
                <w:szCs w:val="21"/>
                <w:highlight w:val="none"/>
                <w:lang w:val="en-US" w:eastAsia="zh-CN"/>
              </w:rPr>
              <w:t>冰球</w:t>
            </w:r>
          </w:p>
        </w:tc>
        <w:tc>
          <w:tcPr>
            <w:tcW w:w="2283" w:type="dxa"/>
            <w:tcBorders>
              <w:top w:val="single" w:color="000000" w:sz="6" w:space="0"/>
              <w:left w:val="single" w:color="000000" w:sz="6" w:space="0"/>
              <w:bottom w:val="single" w:color="000000" w:sz="6" w:space="0"/>
              <w:right w:val="single" w:color="000000" w:sz="6" w:space="0"/>
            </w:tcBorders>
            <w:vAlign w:val="center"/>
          </w:tcPr>
          <w:p w14:paraId="5F0CFCAB">
            <w:pPr>
              <w:ind w:left="73" w:leftChars="35"/>
              <w:jc w:val="center"/>
              <w:rPr>
                <w:rFonts w:hint="eastAsia" w:ascii="仿宋" w:hAnsi="仿宋" w:eastAsia="仿宋" w:cs="仿宋"/>
                <w:szCs w:val="21"/>
                <w:highlight w:val="none"/>
                <w:lang w:eastAsia="zh-CN"/>
              </w:rPr>
            </w:pPr>
            <w:r>
              <w:rPr>
                <w:rFonts w:hint="eastAsia" w:ascii="仿宋" w:hAnsi="仿宋" w:eastAsia="仿宋" w:cs="仿宋"/>
                <w:spacing w:val="-1"/>
                <w:szCs w:val="21"/>
                <w:highlight w:val="none"/>
                <w:lang w:val="en-US" w:eastAsia="zh-CN"/>
              </w:rPr>
              <w:t>-</w:t>
            </w:r>
          </w:p>
        </w:tc>
      </w:tr>
      <w:tr w14:paraId="5801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4" w:hRule="atLeast"/>
          <w:jc w:val="center"/>
        </w:trPr>
        <w:tc>
          <w:tcPr>
            <w:tcW w:w="741" w:type="dxa"/>
            <w:tcBorders>
              <w:top w:val="single" w:color="000000" w:sz="6" w:space="0"/>
              <w:left w:val="single" w:color="000000" w:sz="6" w:space="0"/>
              <w:bottom w:val="single" w:color="000000" w:sz="6" w:space="0"/>
              <w:right w:val="single" w:color="000000" w:sz="6" w:space="0"/>
            </w:tcBorders>
            <w:vAlign w:val="center"/>
          </w:tcPr>
          <w:p w14:paraId="0D18BA95">
            <w:pPr>
              <w:ind w:left="29"/>
              <w:jc w:val="center"/>
              <w:rPr>
                <w:rFonts w:ascii="仿宋" w:hAnsi="仿宋" w:eastAsia="仿宋" w:cs="仿宋"/>
                <w:szCs w:val="21"/>
                <w:highlight w:val="none"/>
              </w:rPr>
            </w:pPr>
            <w:r>
              <w:rPr>
                <w:rFonts w:hint="eastAsia" w:ascii="仿宋" w:hAnsi="仿宋" w:eastAsia="仿宋" w:cs="仿宋"/>
                <w:szCs w:val="21"/>
                <w:highlight w:val="none"/>
              </w:rPr>
              <w:t>C</w:t>
            </w:r>
          </w:p>
        </w:tc>
        <w:tc>
          <w:tcPr>
            <w:tcW w:w="1898" w:type="dxa"/>
            <w:tcBorders>
              <w:top w:val="single" w:color="000000" w:sz="6" w:space="0"/>
              <w:left w:val="single" w:color="000000" w:sz="6" w:space="0"/>
              <w:bottom w:val="single" w:color="000000" w:sz="6" w:space="0"/>
              <w:right w:val="single" w:color="000000" w:sz="6" w:space="0"/>
            </w:tcBorders>
            <w:vAlign w:val="center"/>
          </w:tcPr>
          <w:p w14:paraId="08BA9064">
            <w:pPr>
              <w:ind w:left="178"/>
              <w:jc w:val="center"/>
              <w:rPr>
                <w:rFonts w:ascii="仿宋" w:hAnsi="仿宋" w:eastAsia="仿宋" w:cs="仿宋"/>
                <w:szCs w:val="21"/>
                <w:highlight w:val="none"/>
              </w:rPr>
            </w:pPr>
            <w:r>
              <w:rPr>
                <w:rFonts w:hint="eastAsia" w:ascii="仿宋" w:hAnsi="仿宋" w:eastAsia="仿宋" w:cs="仿宋"/>
                <w:spacing w:val="-2"/>
                <w:szCs w:val="21"/>
                <w:highlight w:val="none"/>
              </w:rPr>
              <w:t>1</w:t>
            </w:r>
            <w:r>
              <w:rPr>
                <w:rFonts w:hint="eastAsia" w:ascii="仿宋" w:hAnsi="仿宋" w:eastAsia="仿宋" w:cs="仿宋"/>
                <w:spacing w:val="-2"/>
                <w:szCs w:val="21"/>
                <w:highlight w:val="none"/>
                <w:lang w:val="en-US" w:eastAsia="zh-CN"/>
              </w:rPr>
              <w:t>6</w:t>
            </w:r>
            <w:r>
              <w:rPr>
                <w:rFonts w:hint="eastAsia" w:ascii="仿宋" w:hAnsi="仿宋" w:eastAsia="仿宋" w:cs="仿宋"/>
                <w:spacing w:val="-2"/>
                <w:szCs w:val="21"/>
                <w:highlight w:val="none"/>
              </w:rPr>
              <w:t>.1.1-1</w:t>
            </w:r>
            <w:r>
              <w:rPr>
                <w:rFonts w:hint="eastAsia" w:ascii="仿宋" w:hAnsi="仿宋" w:eastAsia="仿宋" w:cs="仿宋"/>
                <w:spacing w:val="-2"/>
                <w:szCs w:val="21"/>
                <w:highlight w:val="none"/>
                <w:lang w:val="en-US" w:eastAsia="zh-CN"/>
              </w:rPr>
              <w:t>7</w:t>
            </w:r>
            <w:r>
              <w:rPr>
                <w:rFonts w:hint="eastAsia" w:ascii="仿宋" w:hAnsi="仿宋" w:eastAsia="仿宋" w:cs="仿宋"/>
                <w:spacing w:val="-2"/>
                <w:szCs w:val="21"/>
                <w:highlight w:val="none"/>
              </w:rPr>
              <w:t>.12.31</w:t>
            </w:r>
          </w:p>
        </w:tc>
        <w:tc>
          <w:tcPr>
            <w:tcW w:w="917" w:type="dxa"/>
            <w:tcBorders>
              <w:top w:val="single" w:color="000000" w:sz="6" w:space="0"/>
              <w:left w:val="single" w:color="000000" w:sz="6" w:space="0"/>
              <w:bottom w:val="single" w:color="000000" w:sz="6" w:space="0"/>
              <w:right w:val="single" w:color="000000" w:sz="6" w:space="0"/>
            </w:tcBorders>
            <w:vAlign w:val="center"/>
          </w:tcPr>
          <w:p w14:paraId="784210E2">
            <w:pPr>
              <w:spacing w:before="58" w:line="183" w:lineRule="auto"/>
              <w:ind w:left="21" w:leftChars="1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4462" w:type="dxa"/>
            <w:gridSpan w:val="2"/>
            <w:tcBorders>
              <w:top w:val="single" w:color="000000" w:sz="6" w:space="0"/>
              <w:left w:val="single" w:color="000000" w:sz="6" w:space="0"/>
              <w:bottom w:val="single" w:color="000000" w:sz="6" w:space="0"/>
              <w:right w:val="single" w:color="000000" w:sz="6" w:space="0"/>
            </w:tcBorders>
            <w:vAlign w:val="center"/>
          </w:tcPr>
          <w:p w14:paraId="50AEABCA">
            <w:pPr>
              <w:ind w:left="523" w:leftChars="35" w:right="48" w:hanging="450"/>
              <w:jc w:val="center"/>
              <w:rPr>
                <w:rFonts w:hint="eastAsia" w:ascii="仿宋" w:hAnsi="仿宋" w:eastAsia="仿宋" w:cs="仿宋"/>
                <w:szCs w:val="21"/>
                <w:highlight w:val="none"/>
                <w:lang w:eastAsia="zh-CN"/>
              </w:rPr>
            </w:pPr>
            <w:r>
              <w:rPr>
                <w:rFonts w:hint="eastAsia" w:ascii="仿宋" w:hAnsi="仿宋" w:eastAsia="仿宋" w:cs="仿宋"/>
                <w:spacing w:val="-1"/>
                <w:szCs w:val="21"/>
                <w:highlight w:val="none"/>
                <w:lang w:val="en-US" w:eastAsia="zh-CN"/>
              </w:rPr>
              <w:t>冰球</w:t>
            </w:r>
          </w:p>
        </w:tc>
      </w:tr>
    </w:tbl>
    <w:p w14:paraId="650D4395">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lang w:eastAsia="zh-CN"/>
        </w:rPr>
        <w:t>七</w:t>
      </w:r>
      <w:r>
        <w:rPr>
          <w:rFonts w:hint="eastAsia" w:ascii="仿宋" w:hAnsi="仿宋" w:eastAsia="仿宋" w:cs="仿宋"/>
          <w:b/>
          <w:sz w:val="28"/>
          <w:szCs w:val="28"/>
          <w:highlight w:val="none"/>
        </w:rPr>
        <w:t>、参赛资格</w:t>
      </w:r>
    </w:p>
    <w:p w14:paraId="48E69F31">
      <w:pPr>
        <w:spacing w:line="540" w:lineRule="exact"/>
        <w:ind w:firstLine="560" w:firstLineChars="200"/>
        <w:rPr>
          <w:rFonts w:ascii="仿宋" w:hAnsi="仿宋" w:eastAsia="仿宋" w:cs="仿宋"/>
          <w:color w:val="0000FF"/>
          <w:sz w:val="28"/>
          <w:szCs w:val="28"/>
          <w:highlight w:val="none"/>
        </w:rPr>
      </w:pPr>
      <w:r>
        <w:rPr>
          <w:rFonts w:hint="eastAsia" w:ascii="仿宋" w:hAnsi="仿宋" w:eastAsia="仿宋" w:cs="仿宋"/>
          <w:sz w:val="28"/>
          <w:szCs w:val="28"/>
          <w:highlight w:val="none"/>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（二）每名运动员只能代表一个单位（代表团）参赛；运动员不得跨越组别参赛。</w:t>
      </w:r>
    </w:p>
    <w:p w14:paraId="144AD154">
      <w:pPr>
        <w:spacing w:line="540" w:lineRule="exact"/>
        <w:ind w:firstLine="560" w:firstLineChars="200"/>
        <w:rPr>
          <w:rFonts w:ascii="仿宋" w:hAnsi="仿宋" w:eastAsia="仿宋" w:cs="仿宋"/>
          <w:sz w:val="28"/>
          <w:szCs w:val="28"/>
          <w:highlight w:val="none"/>
        </w:rPr>
      </w:pPr>
      <w:bookmarkStart w:id="0" w:name="_Hlk94972236"/>
      <w:r>
        <w:rPr>
          <w:rFonts w:hint="eastAsia" w:ascii="仿宋" w:hAnsi="仿宋" w:eastAsia="仿宋" w:cs="仿宋"/>
          <w:sz w:val="28"/>
          <w:szCs w:val="28"/>
          <w:highlight w:val="none"/>
        </w:rPr>
        <w:t>（三）参赛运动员必须是202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年在本市有效注册的青少年运动员，并持本人当年有效的《上海市青少年运动员注册卡》参赛。</w:t>
      </w:r>
      <w:bookmarkEnd w:id="0"/>
    </w:p>
    <w:p w14:paraId="154D3B6A">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（四）参赛运动员须达到202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年上海市</w:t>
      </w:r>
      <w:r>
        <w:rPr>
          <w:rFonts w:hint="eastAsia" w:ascii="仿宋" w:hAnsi="仿宋" w:eastAsia="仿宋" w:cs="仿宋"/>
          <w:sz w:val="28"/>
          <w:szCs w:val="28"/>
          <w:highlight w:val="none"/>
          <w:lang w:val="en-US" w:eastAsia="zh-CN"/>
        </w:rPr>
        <w:t>冰球</w:t>
      </w:r>
      <w:r>
        <w:rPr>
          <w:rFonts w:hint="eastAsia" w:ascii="仿宋" w:hAnsi="仿宋" w:eastAsia="仿宋" w:cs="仿宋"/>
          <w:sz w:val="28"/>
          <w:szCs w:val="28"/>
          <w:highlight w:val="none"/>
        </w:rPr>
        <w:t>体能测试赛准入标准分（</w:t>
      </w:r>
      <w:r>
        <w:rPr>
          <w:rFonts w:hint="eastAsia" w:ascii="仿宋" w:hAnsi="仿宋" w:eastAsia="仿宋" w:cs="仿宋"/>
          <w:sz w:val="28"/>
          <w:szCs w:val="28"/>
          <w:highlight w:val="none"/>
          <w:lang w:val="en-US" w:eastAsia="zh-CN"/>
        </w:rPr>
        <w:t>60</w:t>
      </w:r>
      <w:r>
        <w:rPr>
          <w:rFonts w:hint="eastAsia" w:ascii="仿宋" w:hAnsi="仿宋" w:eastAsia="仿宋" w:cs="仿宋"/>
          <w:sz w:val="28"/>
          <w:szCs w:val="28"/>
          <w:highlight w:val="none"/>
        </w:rPr>
        <w:t>分），方可参赛。</w:t>
      </w:r>
    </w:p>
    <w:p w14:paraId="4EED1851">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（六）2026年已在外省市注册或代表外省市在国家体育总局注册的运动员不得参加比赛，经上海市体育局批准同意交流至外省市的运动员除外。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（七）本市市属青少年高水平运动队在编运动员代表注册单位参赛。</w:t>
      </w:r>
    </w:p>
    <w:p w14:paraId="4B5008E9">
      <w:pPr>
        <w:numPr>
          <w:ilvl w:val="255"/>
          <w:numId w:val="0"/>
        </w:numPr>
        <w:spacing w:line="540" w:lineRule="exact"/>
        <w:ind w:firstLine="544" w:firstLineChars="200"/>
        <w:rPr>
          <w:rFonts w:ascii="仿宋" w:hAnsi="仿宋" w:eastAsia="仿宋" w:cs="仿宋"/>
          <w:spacing w:val="-4"/>
          <w:sz w:val="28"/>
          <w:szCs w:val="28"/>
          <w:highlight w:val="none"/>
        </w:rPr>
      </w:pPr>
      <w:r>
        <w:rPr>
          <w:rFonts w:hint="eastAsia" w:ascii="仿宋" w:hAnsi="仿宋" w:eastAsia="仿宋" w:cs="仿宋"/>
          <w:spacing w:val="-4"/>
          <w:sz w:val="28"/>
          <w:szCs w:val="28"/>
          <w:highlight w:val="none"/>
        </w:rPr>
        <w:t>（八）</w:t>
      </w:r>
      <w:r>
        <w:rPr>
          <w:rFonts w:hint="eastAsia" w:ascii="仿宋" w:hAnsi="仿宋" w:eastAsia="仿宋" w:cs="仿宋"/>
          <w:sz w:val="28"/>
          <w:szCs w:val="28"/>
          <w:highlight w:val="none"/>
        </w:rPr>
        <w:t>经市教委、市体育局共同认定的上海市高中阶段学校引进优秀体育学生，于2026年7月10日前办理注册手续的，可直接参加本届运动会。</w:t>
      </w:r>
    </w:p>
    <w:p w14:paraId="6A273CE8">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九、参加办法</w:t>
      </w:r>
    </w:p>
    <w:p w14:paraId="7E58779B">
      <w:pPr>
        <w:overflowPunct w:val="0"/>
        <w:topLinePunct/>
        <w:spacing w:line="540" w:lineRule="exact"/>
        <w:ind w:left="105" w:leftChars="50"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（一）本届市运会教练员须是2026年在本市有效注册的青训教练员，方可报名参赛。</w:t>
      </w:r>
      <w:r>
        <w:rPr>
          <w:rFonts w:hint="eastAsia" w:ascii="仿宋" w:hAnsi="仿宋" w:eastAsia="仿宋" w:cs="仿宋"/>
          <w:sz w:val="28"/>
          <w:szCs w:val="28"/>
          <w:highlight w:val="none"/>
          <w:lang w:val="en-US" w:eastAsia="zh-CN"/>
        </w:rPr>
        <w:t>各单位各组别</w:t>
      </w:r>
      <w:r>
        <w:rPr>
          <w:rFonts w:hint="eastAsia" w:ascii="仿宋" w:hAnsi="仿宋" w:eastAsia="仿宋" w:cs="仿宋"/>
          <w:sz w:val="28"/>
          <w:szCs w:val="28"/>
          <w:highlight w:val="none"/>
        </w:rPr>
        <w:t>限报</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支队伍。</w:t>
      </w:r>
      <w:r>
        <w:rPr>
          <w:rFonts w:hint="eastAsia" w:ascii="仿宋" w:hAnsi="仿宋" w:eastAsia="仿宋" w:cs="仿宋"/>
          <w:sz w:val="28"/>
          <w:szCs w:val="28"/>
          <w:highlight w:val="none"/>
          <w:lang w:val="en-US" w:eastAsia="zh-CN"/>
        </w:rPr>
        <w:t>每单位</w:t>
      </w:r>
      <w:r>
        <w:rPr>
          <w:rFonts w:hint="eastAsia" w:ascii="仿宋" w:hAnsi="仿宋" w:eastAsia="仿宋" w:cs="仿宋"/>
          <w:sz w:val="28"/>
          <w:szCs w:val="28"/>
          <w:highlight w:val="none"/>
        </w:rPr>
        <w:t>可报领队</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名，不得跨区兼任，不得</w:t>
      </w:r>
      <w:r>
        <w:rPr>
          <w:rFonts w:hint="eastAsia" w:ascii="仿宋" w:hAnsi="仿宋" w:eastAsia="仿宋" w:cs="仿宋"/>
          <w:sz w:val="28"/>
          <w:szCs w:val="28"/>
          <w:highlight w:val="none"/>
          <w:lang w:eastAsia="zh-CN"/>
        </w:rPr>
        <w:t>兼任</w:t>
      </w:r>
      <w:r>
        <w:rPr>
          <w:rFonts w:hint="eastAsia" w:ascii="仿宋" w:hAnsi="仿宋" w:eastAsia="仿宋" w:cs="仿宋"/>
          <w:sz w:val="28"/>
          <w:szCs w:val="28"/>
          <w:highlight w:val="none"/>
        </w:rPr>
        <w:t>教练员。每</w:t>
      </w:r>
      <w:r>
        <w:rPr>
          <w:rFonts w:hint="eastAsia" w:ascii="仿宋" w:hAnsi="仿宋" w:eastAsia="仿宋" w:cs="仿宋"/>
          <w:sz w:val="28"/>
          <w:szCs w:val="28"/>
          <w:highlight w:val="none"/>
          <w:lang w:val="en-US" w:eastAsia="zh-CN"/>
        </w:rPr>
        <w:t>单位</w:t>
      </w:r>
      <w:r>
        <w:rPr>
          <w:rFonts w:hint="eastAsia" w:ascii="仿宋" w:hAnsi="仿宋" w:eastAsia="仿宋" w:cs="仿宋"/>
          <w:sz w:val="28"/>
          <w:szCs w:val="28"/>
          <w:highlight w:val="none"/>
        </w:rPr>
        <w:t>可报教练员1-3名；在同一组别中，教练员只能出任一个区的教练员。</w:t>
      </w:r>
      <w:r>
        <w:rPr>
          <w:rFonts w:hint="default" w:ascii="仿宋" w:hAnsi="仿宋" w:eastAsia="仿宋" w:cs="仿宋"/>
          <w:sz w:val="28"/>
          <w:szCs w:val="28"/>
          <w:highlight w:val="none"/>
          <w:lang w:val="en-US"/>
        </w:rPr>
        <w:t>每队最多可报运动员22人，</w:t>
      </w:r>
      <w:r>
        <w:rPr>
          <w:rFonts w:hint="default" w:ascii="仿宋" w:hAnsi="仿宋" w:eastAsia="仿宋" w:cs="仿宋"/>
          <w:sz w:val="28"/>
          <w:szCs w:val="28"/>
          <w:highlight w:val="none"/>
          <w:lang w:val="en-US" w:eastAsia="zh-CN"/>
        </w:rPr>
        <w:t>其中</w:t>
      </w:r>
      <w:r>
        <w:rPr>
          <w:rFonts w:hint="default" w:ascii="仿宋" w:hAnsi="仿宋" w:eastAsia="仿宋" w:cs="仿宋"/>
          <w:sz w:val="28"/>
          <w:szCs w:val="28"/>
          <w:highlight w:val="none"/>
          <w:lang w:val="en-US"/>
        </w:rPr>
        <w:t>队员20人、守门员2人</w:t>
      </w:r>
      <w:r>
        <w:rPr>
          <w:rFonts w:hint="eastAsia" w:ascii="仿宋" w:hAnsi="仿宋" w:eastAsia="仿宋" w:cs="仿宋"/>
          <w:sz w:val="28"/>
          <w:szCs w:val="28"/>
          <w:highlight w:val="none"/>
          <w:lang w:val="en-US" w:eastAsia="zh-CN"/>
        </w:rPr>
        <w:t>（至少须报守门员1人）</w:t>
      </w:r>
      <w:r>
        <w:rPr>
          <w:rFonts w:hint="default" w:ascii="仿宋" w:hAnsi="仿宋" w:eastAsia="仿宋" w:cs="仿宋"/>
          <w:sz w:val="28"/>
          <w:szCs w:val="28"/>
          <w:highlight w:val="none"/>
          <w:lang w:val="en-US" w:eastAsia="zh-CN"/>
        </w:rPr>
        <w:t>；</w:t>
      </w:r>
      <w:r>
        <w:rPr>
          <w:rFonts w:hint="default" w:ascii="仿宋" w:hAnsi="仿宋" w:eastAsia="仿宋" w:cs="仿宋"/>
          <w:sz w:val="28"/>
          <w:szCs w:val="28"/>
          <w:highlight w:val="none"/>
          <w:lang w:val="en-US"/>
        </w:rPr>
        <w:t>每队最少</w:t>
      </w:r>
      <w:r>
        <w:rPr>
          <w:rFonts w:hint="eastAsia" w:ascii="仿宋" w:hAnsi="仿宋" w:eastAsia="仿宋" w:cs="仿宋"/>
          <w:sz w:val="28"/>
          <w:szCs w:val="28"/>
          <w:highlight w:val="none"/>
          <w:lang w:val="en-US" w:eastAsia="zh-CN"/>
        </w:rPr>
        <w:t>须</w:t>
      </w:r>
      <w:r>
        <w:rPr>
          <w:rFonts w:hint="default" w:ascii="仿宋" w:hAnsi="仿宋" w:eastAsia="仿宋" w:cs="仿宋"/>
          <w:sz w:val="28"/>
          <w:szCs w:val="28"/>
          <w:highlight w:val="none"/>
          <w:lang w:val="en-US"/>
        </w:rPr>
        <w:t>报运动员11人，包括运动员10人、守门员1人。</w:t>
      </w:r>
    </w:p>
    <w:p w14:paraId="2267526B">
      <w:pPr>
        <w:adjustRightInd w:val="0"/>
        <w:snapToGrid w:val="0"/>
        <w:spacing w:line="540" w:lineRule="exact"/>
        <w:ind w:firstLine="561"/>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val="en-US" w:eastAsia="zh-CN"/>
        </w:rPr>
        <w:t>各参赛单位</w:t>
      </w:r>
      <w:r>
        <w:rPr>
          <w:rFonts w:hint="eastAsia" w:ascii="仿宋" w:hAnsi="仿宋" w:eastAsia="仿宋" w:cs="仿宋"/>
          <w:sz w:val="28"/>
          <w:szCs w:val="28"/>
          <w:highlight w:val="none"/>
        </w:rPr>
        <w:t>交流运动员报名人数不超过该组别实际报名人数30%（按四舍五入计），集体球类上场人数不超过20%（按四舍五入计）</w:t>
      </w:r>
      <w:r>
        <w:rPr>
          <w:rFonts w:hint="eastAsia" w:ascii="仿宋" w:hAnsi="仿宋" w:eastAsia="仿宋" w:cs="仿宋"/>
          <w:sz w:val="28"/>
          <w:szCs w:val="28"/>
          <w:highlight w:val="none"/>
          <w:lang w:eastAsia="zh-CN"/>
        </w:rPr>
        <w:t>。</w:t>
      </w:r>
    </w:p>
    <w:p w14:paraId="213C36AF">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三）参赛单位通过大会指定的网站www.aijingsai.cn（上海青少年体育赛事网）进行网上报名，并在规定时间内将导出打印的报名表加盖公章后，一式两份报大会组委会竞赛部（地址：徐汇区零陵路800号8楼，竞赛部，31211118）</w:t>
      </w:r>
      <w:r>
        <w:rPr>
          <w:rFonts w:hint="eastAsia" w:ascii="仿宋" w:hAnsi="仿宋" w:eastAsia="仿宋" w:cs="仿宋"/>
          <w:sz w:val="28"/>
          <w:szCs w:val="28"/>
          <w:highlight w:val="none"/>
          <w:lang w:eastAsia="zh-CN"/>
        </w:rPr>
        <w:t>。</w:t>
      </w:r>
    </w:p>
    <w:p w14:paraId="1E0AAA73">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四）各参赛单位须为参赛运动员办理人身意外伤害保险。并将保单复印件交予领队。保险时间段应覆盖整个赛事，其在比赛中发生的任何意外伤害等事故，主办和承办单位均不承担任何责任。领队需在领队会前提交运动员保险单电子版或复印件查验，未提供保单者，将禁止参赛。</w:t>
      </w:r>
    </w:p>
    <w:p w14:paraId="31B6A345">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十、竞赛办法</w:t>
      </w:r>
    </w:p>
    <w:p w14:paraId="46A25FD0">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（一）按照《国际冰球联合会202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赛季竞赛规则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国际冰球联合会运动条例（2022年6月版）》组织比赛。</w:t>
      </w:r>
    </w:p>
    <w:p w14:paraId="6898F2CB">
      <w:pPr>
        <w:adjustRightInd w:val="0"/>
        <w:snapToGrid w:val="0"/>
        <w:spacing w:line="540" w:lineRule="exact"/>
        <w:ind w:firstLine="564"/>
        <w:rPr>
          <w:rFonts w:hint="eastAsia" w:ascii="仿宋" w:hAnsi="仿宋" w:eastAsia="仿宋" w:cs="仿宋"/>
          <w:sz w:val="28"/>
          <w:szCs w:val="28"/>
          <w:highlight w:val="none"/>
        </w:rPr>
      </w:pPr>
      <w:r>
        <w:rPr>
          <w:rFonts w:hint="eastAsia" w:ascii="仿宋" w:hAnsi="仿宋" w:eastAsia="仿宋" w:cs="仿宋"/>
          <w:sz w:val="28"/>
          <w:szCs w:val="28"/>
          <w:highlight w:val="none"/>
        </w:rPr>
        <w:t>（二）竞赛编排及赛制根据报名情况确定，各组别比赛轮次抽签决定。各组别参赛队伍</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支球队</w:t>
      </w:r>
      <w:r>
        <w:rPr>
          <w:rFonts w:hint="eastAsia" w:ascii="仿宋" w:hAnsi="仿宋" w:eastAsia="仿宋" w:cs="仿宋"/>
          <w:sz w:val="28"/>
          <w:szCs w:val="28"/>
          <w:highlight w:val="none"/>
          <w:lang w:val="en-US" w:eastAsia="zh-CN"/>
        </w:rPr>
        <w:t>及</w:t>
      </w:r>
      <w:r>
        <w:rPr>
          <w:rFonts w:hint="eastAsia" w:ascii="仿宋" w:hAnsi="仿宋" w:eastAsia="仿宋" w:cs="仿宋"/>
          <w:sz w:val="28"/>
          <w:szCs w:val="28"/>
          <w:highlight w:val="none"/>
        </w:rPr>
        <w:t>以下，采用</w:t>
      </w:r>
      <w:r>
        <w:rPr>
          <w:rFonts w:hint="eastAsia" w:ascii="仿宋" w:hAnsi="仿宋" w:eastAsia="仿宋" w:cs="仿宋"/>
          <w:sz w:val="28"/>
          <w:szCs w:val="28"/>
          <w:highlight w:val="none"/>
          <w:lang w:val="en-US" w:eastAsia="zh-CN"/>
        </w:rPr>
        <w:t>双</w:t>
      </w:r>
      <w:r>
        <w:rPr>
          <w:rFonts w:hint="eastAsia" w:ascii="仿宋" w:hAnsi="仿宋" w:eastAsia="仿宋" w:cs="仿宋"/>
          <w:sz w:val="28"/>
          <w:szCs w:val="28"/>
          <w:highlight w:val="none"/>
        </w:rPr>
        <w:t>循环制。各组别参赛队伍</w:t>
      </w:r>
      <w:r>
        <w:rPr>
          <w:rFonts w:hint="eastAsia" w:ascii="仿宋" w:hAnsi="仿宋" w:eastAsia="仿宋" w:cs="仿宋"/>
          <w:sz w:val="28"/>
          <w:szCs w:val="28"/>
          <w:highlight w:val="none"/>
          <w:lang w:val="en-US" w:eastAsia="zh-CN"/>
        </w:rPr>
        <w:t>5-7</w:t>
      </w:r>
      <w:r>
        <w:rPr>
          <w:rFonts w:hint="eastAsia" w:ascii="仿宋" w:hAnsi="仿宋" w:eastAsia="仿宋" w:cs="仿宋"/>
          <w:sz w:val="28"/>
          <w:szCs w:val="28"/>
          <w:highlight w:val="none"/>
        </w:rPr>
        <w:t>支球队，采用</w:t>
      </w:r>
      <w:r>
        <w:rPr>
          <w:rFonts w:hint="eastAsia" w:ascii="仿宋" w:hAnsi="仿宋" w:eastAsia="仿宋" w:cs="仿宋"/>
          <w:sz w:val="28"/>
          <w:szCs w:val="28"/>
          <w:highlight w:val="none"/>
          <w:lang w:val="en-US" w:eastAsia="zh-CN"/>
        </w:rPr>
        <w:t>单</w:t>
      </w:r>
      <w:r>
        <w:rPr>
          <w:rFonts w:hint="eastAsia" w:ascii="仿宋" w:hAnsi="仿宋" w:eastAsia="仿宋" w:cs="仿宋"/>
          <w:sz w:val="28"/>
          <w:szCs w:val="28"/>
          <w:highlight w:val="none"/>
        </w:rPr>
        <w:t>循环制。</w:t>
      </w:r>
    </w:p>
    <w:p w14:paraId="5E428EEB">
      <w:pPr>
        <w:adjustRightInd w:val="0"/>
        <w:snapToGrid w:val="0"/>
        <w:spacing w:line="540" w:lineRule="exact"/>
        <w:ind w:firstLine="564"/>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多于</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支（含</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支）分组进行比赛，第一阶段采用小组单循环赛，取各小组前</w:t>
      </w:r>
      <w:r>
        <w:rPr>
          <w:rFonts w:hint="eastAsia" w:ascii="仿宋" w:hAnsi="仿宋" w:eastAsia="仿宋" w:cs="仿宋"/>
          <w:sz w:val="28"/>
          <w:szCs w:val="28"/>
          <w:highlight w:val="none"/>
          <w:lang w:eastAsia="zh-CN"/>
        </w:rPr>
        <w:t>两名</w:t>
      </w:r>
      <w:r>
        <w:rPr>
          <w:rFonts w:hint="eastAsia" w:ascii="仿宋" w:hAnsi="仿宋" w:eastAsia="仿宋" w:cs="仿宋"/>
          <w:sz w:val="28"/>
          <w:szCs w:val="28"/>
          <w:highlight w:val="none"/>
        </w:rPr>
        <w:t>晋级。第二阶段采用淘汰赛和附加赛形式决定最终名次</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小组赛其余参赛队伍采用同名次附加赛形式决出最终名次。</w:t>
      </w:r>
      <w:r>
        <w:rPr>
          <w:rFonts w:hint="eastAsia" w:ascii="仿宋" w:hAnsi="仿宋" w:eastAsia="仿宋" w:cs="仿宋"/>
          <w:sz w:val="28"/>
          <w:szCs w:val="28"/>
          <w:highlight w:val="none"/>
          <w:lang w:val="en-US" w:eastAsia="zh-CN"/>
        </w:rPr>
        <w:t>第一阶段小组赛制中，各参赛队伍按照积分（附件1）蛇形排位，落位后进行抽签。循环赛制中，各参赛队伍按照积分进行抽签，积分高者优先抽签，如遇积分相同或无积分者则按上海市区排名顺序依次抽签。</w:t>
      </w:r>
    </w:p>
    <w:p w14:paraId="3A71BDD7">
      <w:pPr>
        <w:adjustRightInd w:val="0"/>
        <w:snapToGrid w:val="0"/>
        <w:spacing w:line="540" w:lineRule="exact"/>
        <w:ind w:firstLine="564"/>
        <w:rPr>
          <w:rFonts w:ascii="仿宋" w:hAnsi="仿宋" w:eastAsia="仿宋" w:cs="仿宋"/>
          <w:sz w:val="28"/>
          <w:szCs w:val="28"/>
          <w:highlight w:val="none"/>
        </w:rPr>
      </w:pPr>
      <w:r>
        <w:rPr>
          <w:rFonts w:hint="eastAsia" w:ascii="仿宋" w:hAnsi="仿宋" w:eastAsia="仿宋" w:cs="仿宋"/>
          <w:sz w:val="28"/>
          <w:szCs w:val="28"/>
          <w:highlight w:val="none"/>
        </w:rPr>
        <w:t>（三）A组、B组、C组每场比赛分为三局，每局12分钟</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净时</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，赛前训练2分钟，每局间休息</w:t>
      </w:r>
      <w:r>
        <w:rPr>
          <w:rFonts w:hint="eastAsia" w:ascii="仿宋" w:hAnsi="仿宋" w:eastAsia="仿宋" w:cs="仿宋"/>
          <w:sz w:val="28"/>
          <w:szCs w:val="28"/>
          <w:highlight w:val="none"/>
          <w:lang w:val="en-US" w:eastAsia="zh-CN"/>
        </w:rPr>
        <w:t>1分钟</w:t>
      </w:r>
      <w:r>
        <w:rPr>
          <w:rFonts w:hint="eastAsia" w:ascii="仿宋" w:hAnsi="仿宋" w:eastAsia="仿宋" w:cs="仿宋"/>
          <w:sz w:val="28"/>
          <w:szCs w:val="28"/>
          <w:highlight w:val="none"/>
        </w:rPr>
        <w:t>。比分差距超过6个球（含6个球）时采取不停表计时（毛时）。如果常规比赛时间内双方打成平局则直接进行射门比赛。</w:t>
      </w:r>
    </w:p>
    <w:p w14:paraId="388CAD3C">
      <w:pPr>
        <w:adjustRightInd w:val="0"/>
        <w:snapToGrid w:val="0"/>
        <w:spacing w:line="540" w:lineRule="exact"/>
        <w:ind w:firstLine="564"/>
        <w:rPr>
          <w:rFonts w:ascii="仿宋" w:hAnsi="仿宋" w:eastAsia="仿宋" w:cs="仿宋"/>
          <w:sz w:val="28"/>
          <w:szCs w:val="28"/>
          <w:highlight w:val="none"/>
        </w:rPr>
      </w:pPr>
      <w:r>
        <w:rPr>
          <w:rFonts w:hint="eastAsia" w:ascii="仿宋" w:hAnsi="仿宋" w:eastAsia="仿宋" w:cs="仿宋"/>
          <w:sz w:val="28"/>
          <w:szCs w:val="28"/>
          <w:highlight w:val="none"/>
        </w:rPr>
        <w:t>（四）每队</w:t>
      </w:r>
      <w:r>
        <w:rPr>
          <w:rFonts w:hint="eastAsia" w:ascii="仿宋" w:hAnsi="仿宋" w:eastAsia="仿宋" w:cs="仿宋"/>
          <w:sz w:val="28"/>
          <w:szCs w:val="28"/>
          <w:highlight w:val="none"/>
          <w:lang w:val="en-US" w:eastAsia="zh-CN"/>
        </w:rPr>
        <w:t>必须</w:t>
      </w:r>
      <w:r>
        <w:rPr>
          <w:rFonts w:hint="eastAsia" w:ascii="仿宋" w:hAnsi="仿宋" w:eastAsia="仿宋" w:cs="仿宋"/>
          <w:sz w:val="28"/>
          <w:szCs w:val="28"/>
          <w:highlight w:val="none"/>
        </w:rPr>
        <w:t>确定1名队长和最多2名代理队长，队长</w:t>
      </w:r>
      <w:r>
        <w:rPr>
          <w:rFonts w:hint="eastAsia" w:ascii="仿宋" w:hAnsi="仿宋" w:eastAsia="仿宋" w:cs="仿宋"/>
          <w:sz w:val="28"/>
          <w:szCs w:val="28"/>
          <w:highlight w:val="none"/>
          <w:lang w:eastAsia="zh-CN"/>
        </w:rPr>
        <w:t>佩戴</w:t>
      </w:r>
      <w:r>
        <w:rPr>
          <w:rFonts w:hint="eastAsia" w:ascii="仿宋" w:hAnsi="仿宋" w:eastAsia="仿宋" w:cs="仿宋"/>
          <w:sz w:val="28"/>
          <w:szCs w:val="28"/>
          <w:highlight w:val="none"/>
        </w:rPr>
        <w:t>“C”字母，代理队长佩戴“A”字母。字母高8公分，与比赛服有鲜明颜色对比，</w:t>
      </w:r>
      <w:r>
        <w:rPr>
          <w:rFonts w:hint="eastAsia" w:ascii="仿宋" w:hAnsi="仿宋" w:eastAsia="仿宋" w:cs="仿宋"/>
          <w:sz w:val="28"/>
          <w:szCs w:val="28"/>
          <w:highlight w:val="none"/>
          <w:lang w:eastAsia="zh-CN"/>
        </w:rPr>
        <w:t>佩戴在</w:t>
      </w:r>
      <w:r>
        <w:rPr>
          <w:rFonts w:hint="eastAsia" w:ascii="仿宋" w:hAnsi="仿宋" w:eastAsia="仿宋" w:cs="仿宋"/>
          <w:sz w:val="28"/>
          <w:szCs w:val="28"/>
          <w:highlight w:val="none"/>
        </w:rPr>
        <w:t>比赛服左前胸显著位置。</w:t>
      </w:r>
    </w:p>
    <w:p w14:paraId="080AFF9E">
      <w:pPr>
        <w:adjustRightInd w:val="0"/>
        <w:snapToGrid w:val="0"/>
        <w:spacing w:line="540" w:lineRule="exact"/>
        <w:ind w:firstLine="564"/>
        <w:rPr>
          <w:rFonts w:hint="eastAsia" w:ascii="仿宋" w:hAnsi="仿宋" w:eastAsia="仿宋" w:cs="仿宋"/>
          <w:sz w:val="28"/>
          <w:szCs w:val="28"/>
          <w:highlight w:val="none"/>
        </w:rPr>
      </w:pPr>
      <w:r>
        <w:rPr>
          <w:rFonts w:hint="eastAsia" w:ascii="仿宋" w:hAnsi="仿宋" w:eastAsia="仿宋" w:cs="仿宋"/>
          <w:sz w:val="28"/>
          <w:szCs w:val="28"/>
          <w:highlight w:val="none"/>
        </w:rPr>
        <w:t>（五）各队应准备两套深浅不同颜色的比赛服。服装基础颜色必</w:t>
      </w:r>
    </w:p>
    <w:p w14:paraId="53C1045C">
      <w:pPr>
        <w:adjustRightInd w:val="0"/>
        <w:snapToGrid w:val="0"/>
        <w:spacing w:line="5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须占80%以上，上衣背后</w:t>
      </w:r>
      <w:r>
        <w:rPr>
          <w:rFonts w:hint="eastAsia" w:ascii="仿宋" w:hAnsi="仿宋" w:eastAsia="仿宋" w:cs="仿宋"/>
          <w:sz w:val="28"/>
          <w:szCs w:val="28"/>
          <w:highlight w:val="none"/>
          <w:lang w:val="en-US" w:eastAsia="zh-CN"/>
        </w:rPr>
        <w:t>及手臂上</w:t>
      </w:r>
      <w:r>
        <w:rPr>
          <w:rFonts w:hint="eastAsia" w:ascii="仿宋" w:hAnsi="仿宋" w:eastAsia="仿宋" w:cs="仿宋"/>
          <w:sz w:val="28"/>
          <w:szCs w:val="28"/>
          <w:highlight w:val="none"/>
        </w:rPr>
        <w:t>应按规定有明显号码，并在报名单上注明服装颜色。</w:t>
      </w:r>
      <w:r>
        <w:rPr>
          <w:rFonts w:hint="eastAsia" w:ascii="仿宋" w:hAnsi="仿宋" w:eastAsia="仿宋" w:cs="仿宋"/>
          <w:sz w:val="28"/>
          <w:szCs w:val="28"/>
          <w:highlight w:val="none"/>
          <w:lang w:val="en-US" w:eastAsia="zh-CN"/>
        </w:rPr>
        <w:t>比赛服上的名字需与报名系统相同。</w:t>
      </w:r>
      <w:r>
        <w:rPr>
          <w:rFonts w:hint="eastAsia" w:ascii="仿宋" w:hAnsi="仿宋" w:eastAsia="仿宋" w:cs="仿宋"/>
          <w:sz w:val="28"/>
          <w:szCs w:val="28"/>
          <w:highlight w:val="none"/>
        </w:rPr>
        <w:t>同时搭配合适的袜套；为避免球衣颜色相近，竞委会可决定每场比赛队伍球衣颜色。运动员必须佩戴符合国际冰联相关年龄规定的全套冰球装备及佩戴护齿，否则不允许参赛。</w:t>
      </w:r>
    </w:p>
    <w:p w14:paraId="1E8335B6">
      <w:pPr>
        <w:adjustRightInd w:val="0"/>
        <w:snapToGrid w:val="0"/>
        <w:spacing w:line="540" w:lineRule="exact"/>
        <w:ind w:firstLine="564"/>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lang w:eastAsia="zh-CN"/>
        </w:rPr>
        <w:t>）交流运动员</w:t>
      </w:r>
      <w:r>
        <w:rPr>
          <w:rFonts w:hint="eastAsia" w:ascii="仿宋" w:hAnsi="仿宋" w:eastAsia="仿宋" w:cs="仿宋"/>
          <w:sz w:val="28"/>
          <w:szCs w:val="28"/>
          <w:highlight w:val="none"/>
          <w:lang w:val="en-US" w:eastAsia="zh-CN"/>
        </w:rPr>
        <w:t>需佩戴指定识别袖标并在头盔两侧贴上指定标识。袖标和头盔贴由竞委会统一于赛前下发。</w:t>
      </w:r>
    </w:p>
    <w:p w14:paraId="5D96BC9E">
      <w:pPr>
        <w:adjustRightInd w:val="0"/>
        <w:snapToGrid w:val="0"/>
        <w:spacing w:line="54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交流球员场上（包括受罚球员，判罚违例的球员除外）不得超过20%（即1人），如违反交流运动员上场规定人数的球队，其一名场上比赛的交流运动员将被处于“受队小罚”。</w:t>
      </w:r>
    </w:p>
    <w:p w14:paraId="61DD1884">
      <w:pPr>
        <w:adjustRightInd w:val="0"/>
        <w:snapToGrid w:val="0"/>
        <w:spacing w:line="540" w:lineRule="exact"/>
        <w:ind w:firstLine="564"/>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八</w:t>
      </w:r>
      <w:r>
        <w:rPr>
          <w:rFonts w:hint="eastAsia" w:ascii="仿宋" w:hAnsi="仿宋" w:eastAsia="仿宋" w:cs="仿宋"/>
          <w:sz w:val="28"/>
          <w:szCs w:val="28"/>
          <w:highlight w:val="none"/>
        </w:rPr>
        <w:t>）名次决定办法</w:t>
      </w:r>
    </w:p>
    <w:p w14:paraId="0807EB21">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比赛采用</w:t>
      </w:r>
      <w:r>
        <w:rPr>
          <w:rFonts w:hint="eastAsia" w:ascii="仿宋" w:hAnsi="仿宋" w:eastAsia="仿宋" w:cs="仿宋"/>
          <w:color w:val="auto"/>
          <w:sz w:val="28"/>
          <w:szCs w:val="28"/>
          <w:highlight w:val="none"/>
          <w:lang w:val="en-US" w:eastAsia="zh-CN"/>
        </w:rPr>
        <w:t>每场比赛必胜制</w:t>
      </w:r>
      <w:r>
        <w:rPr>
          <w:rFonts w:hint="eastAsia" w:ascii="仿宋" w:hAnsi="仿宋" w:eastAsia="仿宋" w:cs="仿宋"/>
          <w:color w:val="auto"/>
          <w:sz w:val="28"/>
          <w:szCs w:val="28"/>
          <w:highlight w:val="none"/>
        </w:rPr>
        <w:t>，常规时间内获胜的队积3分，负队积0分。常规时间内打平</w:t>
      </w:r>
      <w:r>
        <w:rPr>
          <w:rFonts w:hint="eastAsia" w:ascii="仿宋" w:hAnsi="仿宋" w:eastAsia="仿宋" w:cs="仿宋"/>
          <w:color w:val="auto"/>
          <w:sz w:val="28"/>
          <w:szCs w:val="28"/>
          <w:highlight w:val="none"/>
          <w:lang w:val="en-US" w:eastAsia="zh-CN"/>
        </w:rPr>
        <w:t>则采用点球制，胜者积2分，负者积1分。</w:t>
      </w:r>
      <w:r>
        <w:rPr>
          <w:rFonts w:hint="eastAsia" w:ascii="仿宋" w:hAnsi="仿宋" w:eastAsia="仿宋" w:cs="仿宋"/>
          <w:color w:val="auto"/>
          <w:sz w:val="28"/>
          <w:szCs w:val="28"/>
          <w:highlight w:val="none"/>
        </w:rPr>
        <w:t>积分多者名次列前。</w:t>
      </w:r>
    </w:p>
    <w:p w14:paraId="519D8B5B">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循环赛中，</w:t>
      </w:r>
      <w:r>
        <w:rPr>
          <w:rFonts w:hint="eastAsia" w:ascii="仿宋" w:hAnsi="仿宋" w:eastAsia="仿宋" w:cs="仿宋"/>
          <w:color w:val="auto"/>
          <w:sz w:val="28"/>
          <w:szCs w:val="28"/>
          <w:highlight w:val="none"/>
        </w:rPr>
        <w:t>如遇两支球队积分相同，则按这两支球队之间本阶段最后一场比赛结果来决定名次，比赛胜者名次列前。如遇三支队或以上球队积分相等时，将采用以下步骤打破平局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把积分相同的队组成一个小组，以下简称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副组”，这个步骤将一直持续下去，直到只有两支队或者没有球队保持平局，如果仍然有两支队伍保持平局，因为所有比赛都是不以平局结束的，那么这两支队伍之间的比赛将是打破平局的比赛。具体步骤如下：</w:t>
      </w:r>
    </w:p>
    <w:p w14:paraId="4711D2DD">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1.按照本轮次副组内队伍相互比赛的积分决定名次，积分多者名次列前。</w:t>
      </w:r>
    </w:p>
    <w:p w14:paraId="161926E6">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2.如相等则按照本轮次副组内队伍相互比赛的净胜球总数决定名次，净胜球多者名次列前。</w:t>
      </w:r>
    </w:p>
    <w:p w14:paraId="4E7E4DE1">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3.如仍相等则按照本轮次副组内队伍相互比赛的进球总数决定名次，进球多者名次列前。</w:t>
      </w:r>
    </w:p>
    <w:p w14:paraId="32ACD5BD">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如副组内球队相互比赛的积分、净胜球数和进球总数仍然相同，那么将查副组内每个球队分别与副组之外最接近副组且排名最高的球队之间的比赛结果。在这种情况下，副组内球队分别与副组之外的最接近副组且排名最高的球队之间的比赛结果（</w:t>
      </w:r>
      <w:r>
        <w:rPr>
          <w:rFonts w:hint="eastAsia" w:ascii="仿宋" w:hAnsi="仿宋" w:eastAsia="仿宋" w:cs="仿宋"/>
          <w:color w:val="auto"/>
          <w:sz w:val="28"/>
          <w:szCs w:val="28"/>
          <w:highlight w:val="none"/>
          <w:lang w:val="en-US" w:eastAsia="zh-CN"/>
        </w:rPr>
        <w:t>依次按照</w:t>
      </w:r>
      <w:r>
        <w:rPr>
          <w:rFonts w:hint="eastAsia" w:ascii="仿宋" w:hAnsi="仿宋" w:eastAsia="仿宋" w:cs="仿宋"/>
          <w:color w:val="auto"/>
          <w:sz w:val="28"/>
          <w:szCs w:val="28"/>
          <w:highlight w:val="none"/>
        </w:rPr>
        <w:t>积分、净胜球、总进球数相比，成绩好者名次列前）。</w:t>
      </w:r>
    </w:p>
    <w:p w14:paraId="457EB09F">
      <w:pPr>
        <w:adjustRightInd w:val="0"/>
        <w:snapToGrid w:val="0"/>
        <w:spacing w:line="540" w:lineRule="exact"/>
        <w:ind w:firstLine="56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5.如果副组内球队仍然平局，那么将副组内球队分别与副组之外下一个最接近副组且排名最高的球队之间的比赛结果相比，成绩好者名次列前。</w:t>
      </w:r>
    </w:p>
    <w:p w14:paraId="02904CE5">
      <w:pPr>
        <w:adjustRightInd w:val="0"/>
        <w:snapToGrid w:val="0"/>
        <w:spacing w:line="540" w:lineRule="exact"/>
        <w:ind w:firstLine="56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如果执行了以上步骤结束之后仍然平局，副组内球队的排名将会依据参加比赛前的小组内抽签排序来进行排名，排序前者名次列前。注：若副组内队伍间含有弃权比赛，在执行到第2步骤时，弃权队伍在副组内排名最后。</w:t>
      </w:r>
    </w:p>
    <w:p w14:paraId="74E29D38">
      <w:pPr>
        <w:adjustRightInd w:val="0"/>
        <w:snapToGrid w:val="0"/>
        <w:spacing w:line="540" w:lineRule="exact"/>
        <w:ind w:firstLine="564"/>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九</w:t>
      </w:r>
      <w:r>
        <w:rPr>
          <w:rFonts w:hint="eastAsia" w:ascii="仿宋" w:hAnsi="仿宋" w:eastAsia="仿宋" w:cs="仿宋"/>
          <w:sz w:val="28"/>
          <w:szCs w:val="28"/>
          <w:highlight w:val="none"/>
        </w:rPr>
        <w:t>）各参赛队比赛装备须按照《全国冰球赛事参赛指引（试行）》执行。临场教练员须</w:t>
      </w:r>
      <w:r>
        <w:rPr>
          <w:rFonts w:hint="eastAsia" w:ascii="仿宋" w:hAnsi="仿宋" w:eastAsia="仿宋" w:cs="仿宋"/>
          <w:sz w:val="28"/>
          <w:szCs w:val="28"/>
          <w:highlight w:val="none"/>
          <w:lang w:val="en-US" w:eastAsia="zh-CN"/>
        </w:rPr>
        <w:t>着正装</w:t>
      </w:r>
      <w:r>
        <w:rPr>
          <w:rFonts w:hint="eastAsia" w:ascii="仿宋" w:hAnsi="仿宋" w:eastAsia="仿宋" w:cs="仿宋"/>
          <w:sz w:val="28"/>
          <w:szCs w:val="28"/>
          <w:highlight w:val="none"/>
        </w:rPr>
        <w:t>。</w:t>
      </w:r>
    </w:p>
    <w:p w14:paraId="34B657BF">
      <w:pPr>
        <w:adjustRightInd w:val="0"/>
        <w:snapToGrid w:val="0"/>
        <w:spacing w:line="540" w:lineRule="exact"/>
        <w:ind w:firstLine="564"/>
        <w:rPr>
          <w:rFonts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十</w:t>
      </w:r>
      <w:r>
        <w:rPr>
          <w:rFonts w:hint="eastAsia" w:ascii="仿宋" w:hAnsi="仿宋" w:eastAsia="仿宋" w:cs="仿宋"/>
          <w:sz w:val="28"/>
          <w:szCs w:val="28"/>
          <w:highlight w:val="none"/>
        </w:rPr>
        <w:t>）冰球场地及设施参数：符合国际冰联要求的比赛场地。</w:t>
      </w:r>
    </w:p>
    <w:p w14:paraId="08CFE5C9">
      <w:pPr>
        <w:adjustRightInd w:val="0"/>
        <w:snapToGrid w:val="0"/>
        <w:spacing w:line="5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十一</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各组别</w:t>
      </w:r>
      <w:r>
        <w:rPr>
          <w:rFonts w:hint="eastAsia" w:ascii="仿宋" w:hAnsi="仿宋" w:eastAsia="仿宋" w:cs="仿宋"/>
          <w:sz w:val="28"/>
          <w:szCs w:val="28"/>
          <w:highlight w:val="none"/>
        </w:rPr>
        <w:t>每支队伍首次出场的比赛须至少有11名运动员到场，如不能达到要求，则取消赛会资格。后续赛事须每场至少有6名运动员到场，如没有达到要求，则判0-</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负。守门员如缺席，可由其他球员替代。</w:t>
      </w:r>
    </w:p>
    <w:p w14:paraId="0FD9484B">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十二</w:t>
      </w:r>
      <w:r>
        <w:rPr>
          <w:rFonts w:hint="eastAsia" w:ascii="仿宋" w:hAnsi="仿宋" w:eastAsia="仿宋" w:cs="仿宋"/>
          <w:sz w:val="28"/>
          <w:szCs w:val="28"/>
          <w:highlight w:val="none"/>
          <w:lang w:eastAsia="zh-CN"/>
        </w:rPr>
        <w:t>）每场比赛开赛前半小时开放检录，赛前15分钟停止检录。所有比赛结束后未检录到的运动员将不发放奖牌与</w:t>
      </w:r>
      <w:r>
        <w:rPr>
          <w:rFonts w:hint="eastAsia" w:ascii="仿宋" w:hAnsi="仿宋" w:eastAsia="仿宋" w:cs="仿宋"/>
          <w:sz w:val="28"/>
          <w:szCs w:val="28"/>
          <w:highlight w:val="none"/>
          <w:lang w:val="en-US" w:eastAsia="zh-CN"/>
        </w:rPr>
        <w:t>证书</w:t>
      </w:r>
      <w:r>
        <w:rPr>
          <w:rFonts w:hint="eastAsia" w:ascii="仿宋" w:hAnsi="仿宋" w:eastAsia="仿宋" w:cs="仿宋"/>
          <w:sz w:val="28"/>
          <w:szCs w:val="28"/>
          <w:highlight w:val="none"/>
          <w:lang w:eastAsia="zh-CN"/>
        </w:rPr>
        <w:t>。</w:t>
      </w:r>
    </w:p>
    <w:p w14:paraId="2AAEFAA8">
      <w:pPr>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（十</w:t>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）各项目竞赛小项参赛队数少于2个参赛单位3队，均不安排比赛。</w:t>
      </w:r>
    </w:p>
    <w:p w14:paraId="15D2C012">
      <w:pPr>
        <w:adjustRightInd w:val="0"/>
        <w:snapToGrid w:val="0"/>
        <w:spacing w:line="54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十一、录取名次、计牌计分和奖励办法</w:t>
      </w:r>
    </w:p>
    <w:p w14:paraId="511F3F7D">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（一）各组别</w:t>
      </w:r>
      <w:r>
        <w:rPr>
          <w:rFonts w:hint="eastAsia" w:ascii="仿宋" w:hAnsi="仿宋" w:eastAsia="仿宋" w:cs="仿宋"/>
          <w:bCs/>
          <w:sz w:val="28"/>
          <w:szCs w:val="28"/>
          <w:highlight w:val="none"/>
        </w:rPr>
        <w:t>录取前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名，不足</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队参赛的，则按实际参赛队数录取名次。各项各组别成绩前3名颁发奖牌和证书，其他录取名次颁发证书。</w:t>
      </w:r>
    </w:p>
    <w:p w14:paraId="36D38D28">
      <w:pPr>
        <w:adjustRightInd w:val="0"/>
        <w:snapToGrid w:val="0"/>
        <w:spacing w:line="540" w:lineRule="exact"/>
        <w:ind w:firstLine="560" w:firstLineChars="200"/>
        <w:rPr>
          <w:rFonts w:ascii="仿宋" w:hAnsi="仿宋" w:eastAsia="仿宋" w:cs="仿宋"/>
          <w:bCs/>
          <w:spacing w:val="-4"/>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bCs/>
          <w:sz w:val="28"/>
          <w:szCs w:val="28"/>
          <w:highlight w:val="none"/>
        </w:rPr>
        <w:t>有</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队以上（含</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队）参赛的，前三名依次按</w:t>
      </w:r>
      <w:r>
        <w:rPr>
          <w:rFonts w:hint="eastAsia" w:ascii="仿宋" w:hAnsi="仿宋" w:eastAsia="仿宋" w:cs="仿宋"/>
          <w:bCs/>
          <w:sz w:val="28"/>
          <w:szCs w:val="28"/>
          <w:highlight w:val="none"/>
          <w:lang w:val="en-US" w:eastAsia="zh-CN"/>
        </w:rPr>
        <w:t>1</w:t>
      </w:r>
      <w:r>
        <w:rPr>
          <w:rFonts w:hint="eastAsia" w:ascii="仿宋" w:hAnsi="仿宋" w:eastAsia="仿宋" w:cs="仿宋"/>
          <w:bCs/>
          <w:sz w:val="28"/>
          <w:szCs w:val="28"/>
          <w:highlight w:val="none"/>
        </w:rPr>
        <w:t>金、</w:t>
      </w:r>
      <w:r>
        <w:rPr>
          <w:rFonts w:hint="eastAsia" w:ascii="仿宋" w:hAnsi="仿宋" w:eastAsia="仿宋" w:cs="仿宋"/>
          <w:bCs/>
          <w:sz w:val="28"/>
          <w:szCs w:val="28"/>
          <w:highlight w:val="none"/>
          <w:lang w:val="en-US" w:eastAsia="zh-CN"/>
        </w:rPr>
        <w:t>1银</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1铜</w:t>
      </w:r>
      <w:r>
        <w:rPr>
          <w:rFonts w:hint="eastAsia" w:ascii="仿宋" w:hAnsi="仿宋" w:eastAsia="仿宋" w:cs="仿宋"/>
          <w:bCs/>
          <w:sz w:val="28"/>
          <w:szCs w:val="28"/>
          <w:highlight w:val="none"/>
        </w:rPr>
        <w:t>计牌，前</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名依次按</w:t>
      </w:r>
      <w:r>
        <w:rPr>
          <w:rFonts w:hint="eastAsia" w:ascii="仿宋" w:hAnsi="仿宋" w:eastAsia="仿宋" w:cs="仿宋"/>
          <w:bCs/>
          <w:sz w:val="28"/>
          <w:szCs w:val="28"/>
          <w:highlight w:val="none"/>
          <w:lang w:val="en-US" w:eastAsia="zh-CN"/>
        </w:rPr>
        <w:t>11</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9</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8</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7</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6</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5</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4</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3</w:t>
      </w:r>
      <w:r>
        <w:rPr>
          <w:rFonts w:hint="eastAsia" w:ascii="仿宋" w:hAnsi="仿宋" w:eastAsia="仿宋" w:cs="仿宋"/>
          <w:bCs/>
          <w:sz w:val="28"/>
          <w:szCs w:val="28"/>
          <w:highlight w:val="none"/>
        </w:rPr>
        <w:t>计分</w:t>
      </w:r>
      <w:r>
        <w:rPr>
          <w:rFonts w:hint="eastAsia" w:ascii="仿宋" w:hAnsi="仿宋" w:eastAsia="仿宋" w:cs="仿宋"/>
          <w:bCs/>
          <w:spacing w:val="-4"/>
          <w:sz w:val="28"/>
          <w:szCs w:val="28"/>
          <w:highlight w:val="none"/>
        </w:rPr>
        <w:t>。</w:t>
      </w:r>
    </w:p>
    <w:p w14:paraId="6CDAFCD6">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十二、申诉和纪律</w:t>
      </w:r>
    </w:p>
    <w:p w14:paraId="0ADC6F01">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lang w:eastAsia="zh-CN"/>
        </w:rPr>
        <w:t>）申诉</w:t>
      </w:r>
    </w:p>
    <w:p w14:paraId="24CF6EF9">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sz w:val="28"/>
          <w:szCs w:val="28"/>
          <w:highlight w:val="none"/>
          <w:lang w:eastAsia="zh-CN"/>
        </w:rPr>
        <w:t>仲裁委员会的人员组成和职责范围按中国冰球协会有关规定执行。如果参赛单位对运动员的成绩和判罚等方面有异</w:t>
      </w:r>
      <w:bookmarkStart w:id="2" w:name="_GoBack"/>
      <w:bookmarkEnd w:id="2"/>
      <w:r>
        <w:rPr>
          <w:rFonts w:hint="eastAsia" w:ascii="仿宋" w:hAnsi="仿宋" w:eastAsia="仿宋" w:cs="仿宋"/>
          <w:sz w:val="28"/>
          <w:szCs w:val="28"/>
          <w:highlight w:val="none"/>
          <w:lang w:eastAsia="zh-CN"/>
        </w:rPr>
        <w:t>议，须在本场比赛结束后15分钟之内，以书面形式申请仲裁，并提供相关证据</w:t>
      </w:r>
      <w:r>
        <w:rPr>
          <w:rFonts w:hint="eastAsia" w:ascii="仿宋" w:hAnsi="仿宋" w:eastAsia="仿宋" w:cs="仿宋"/>
          <w:color w:val="auto"/>
          <w:sz w:val="28"/>
          <w:szCs w:val="28"/>
          <w:highlight w:val="none"/>
        </w:rPr>
        <w:t>。</w:t>
      </w:r>
    </w:p>
    <w:p w14:paraId="2117E167">
      <w:pPr>
        <w:adjustRightInd w:val="0"/>
        <w:snapToGrid w:val="0"/>
        <w:spacing w:line="54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（二）纪律</w:t>
      </w:r>
    </w:p>
    <w:p w14:paraId="60077A29">
      <w:pPr>
        <w:keepNext w:val="0"/>
        <w:keepLines w:val="0"/>
        <w:pageBreakBefore w:val="0"/>
        <w:widowControl w:val="0"/>
        <w:kinsoku/>
        <w:wordWrap/>
        <w:autoSpaceDE/>
        <w:autoSpaceDN/>
        <w:bidi w:val="0"/>
        <w:adjustRightInd w:val="0"/>
        <w:snapToGrid w:val="0"/>
        <w:spacing w:line="54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highlight w:val="none"/>
        </w:rPr>
      </w:pPr>
      <w:r>
        <w:rPr>
          <w:rFonts w:hint="eastAsia" w:ascii="仿宋" w:hAnsi="仿宋" w:eastAsia="仿宋" w:cs="仿宋"/>
          <w:b/>
          <w:bCs/>
          <w:sz w:val="28"/>
          <w:szCs w:val="28"/>
          <w:highlight w:val="none"/>
        </w:rPr>
        <w:t>十三、技术官员</w:t>
      </w:r>
    </w:p>
    <w:p w14:paraId="4E643327">
      <w:pPr>
        <w:adjustRightInd w:val="0"/>
        <w:snapToGrid w:val="0"/>
        <w:spacing w:line="5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十四、运动员技术等级授予</w:t>
      </w:r>
    </w:p>
    <w:p w14:paraId="497A4034">
      <w:pPr>
        <w:adjustRightInd w:val="0"/>
        <w:snapToGrid w:val="0"/>
        <w:spacing w:line="540" w:lineRule="exact"/>
        <w:ind w:firstLine="560" w:firstLineChars="200"/>
        <w:rPr>
          <w:rFonts w:ascii="仿宋" w:hAnsi="仿宋" w:eastAsia="仿宋" w:cs="仿宋"/>
          <w:b/>
          <w:sz w:val="28"/>
          <w:szCs w:val="28"/>
          <w:highlight w:val="none"/>
        </w:rPr>
      </w:pPr>
      <w:r>
        <w:rPr>
          <w:rFonts w:hint="eastAsia" w:ascii="仿宋" w:hAnsi="仿宋" w:eastAsia="仿宋" w:cs="仿宋"/>
          <w:bCs/>
          <w:color w:val="000000"/>
          <w:sz w:val="28"/>
          <w:szCs w:val="28"/>
          <w:highlight w:val="none"/>
        </w:rPr>
        <w:t>本次比赛为2026年国家体育总局公布的可授予运动员技术等级称号赛事，本次比赛</w:t>
      </w:r>
      <w:r>
        <w:rPr>
          <w:rFonts w:hint="eastAsia" w:ascii="仿宋" w:hAnsi="仿宋" w:eastAsia="仿宋" w:cs="仿宋"/>
          <w:bCs/>
          <w:color w:val="000000"/>
          <w:sz w:val="28"/>
          <w:szCs w:val="28"/>
          <w:highlight w:val="none"/>
          <w:lang w:val="en-US" w:eastAsia="zh-CN"/>
        </w:rPr>
        <w:t>A</w:t>
      </w:r>
      <w:r>
        <w:rPr>
          <w:rFonts w:hint="eastAsia" w:ascii="仿宋" w:hAnsi="仿宋" w:eastAsia="仿宋" w:cs="仿宋"/>
          <w:bCs/>
          <w:color w:val="000000"/>
          <w:sz w:val="28"/>
          <w:szCs w:val="28"/>
          <w:highlight w:val="none"/>
        </w:rPr>
        <w:t>组（</w:t>
      </w:r>
      <w:r>
        <w:rPr>
          <w:rFonts w:hint="eastAsia" w:ascii="仿宋" w:hAnsi="仿宋" w:eastAsia="仿宋" w:cs="仿宋"/>
          <w:bCs/>
          <w:color w:val="000000"/>
          <w:sz w:val="28"/>
          <w:szCs w:val="28"/>
          <w:highlight w:val="none"/>
          <w:lang w:val="en-US" w:eastAsia="zh-CN"/>
        </w:rPr>
        <w:t>男子冰球</w:t>
      </w:r>
      <w:r>
        <w:rPr>
          <w:rFonts w:hint="eastAsia" w:ascii="仿宋" w:hAnsi="仿宋" w:eastAsia="仿宋" w:cs="仿宋"/>
          <w:bCs/>
          <w:color w:val="000000"/>
          <w:sz w:val="28"/>
          <w:szCs w:val="28"/>
          <w:highlight w:val="none"/>
        </w:rPr>
        <w:t>小项）为可授予运动员技术等级的组别（及小项），各小项须至少有5队上场比赛，且运动员累计上场时间须达到本队比赛总时间10%以上，方可授予等级称号，未满足上场比赛时间的运动员不得授予等级称号。具体标准按国家体育总局最新发布的《</w:t>
      </w:r>
      <w:r>
        <w:rPr>
          <w:rFonts w:hint="eastAsia" w:ascii="仿宋" w:hAnsi="仿宋" w:eastAsia="仿宋" w:cs="仿宋"/>
          <w:bCs/>
          <w:color w:val="000000"/>
          <w:sz w:val="28"/>
          <w:szCs w:val="28"/>
          <w:highlight w:val="none"/>
          <w:lang w:val="en-US" w:eastAsia="zh-CN"/>
        </w:rPr>
        <w:t>冰球</w:t>
      </w:r>
      <w:r>
        <w:rPr>
          <w:rFonts w:hint="eastAsia" w:ascii="仿宋" w:hAnsi="仿宋" w:eastAsia="仿宋" w:cs="仿宋"/>
          <w:bCs/>
          <w:color w:val="000000"/>
          <w:sz w:val="28"/>
          <w:szCs w:val="28"/>
          <w:highlight w:val="none"/>
        </w:rPr>
        <w:t>项目运动员技术等级标准》执行。</w:t>
      </w:r>
    </w:p>
    <w:p w14:paraId="71FDD657">
      <w:pPr>
        <w:adjustRightInd w:val="0"/>
        <w:snapToGrid w:val="0"/>
        <w:spacing w:line="540" w:lineRule="exact"/>
        <w:ind w:firstLine="562" w:firstLineChars="200"/>
        <w:rPr>
          <w:rFonts w:ascii="仿宋" w:hAnsi="仿宋" w:eastAsia="仿宋" w:cs="仿宋"/>
          <w:b/>
          <w:sz w:val="28"/>
          <w:szCs w:val="28"/>
          <w:highlight w:val="none"/>
        </w:rPr>
      </w:pPr>
      <w:r>
        <w:rPr>
          <w:rFonts w:hint="eastAsia" w:ascii="仿宋" w:hAnsi="仿宋" w:eastAsia="仿宋" w:cs="仿宋"/>
          <w:b/>
          <w:sz w:val="28"/>
          <w:szCs w:val="28"/>
          <w:highlight w:val="none"/>
        </w:rPr>
        <w:t>十五、其他</w:t>
      </w:r>
    </w:p>
    <w:p w14:paraId="3214C470">
      <w:pPr>
        <w:adjustRightInd w:val="0"/>
        <w:snapToGrid w:val="0"/>
        <w:spacing w:line="5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highlight w:val="none"/>
        </w:rPr>
      </w:pPr>
      <w:bookmarkStart w:id="1" w:name="_Hlk162361054"/>
      <w:r>
        <w:rPr>
          <w:rFonts w:hint="eastAsia" w:ascii="仿宋" w:hAnsi="仿宋" w:eastAsia="仿宋" w:cs="仿宋"/>
          <w:color w:val="000000"/>
          <w:sz w:val="28"/>
          <w:szCs w:val="28"/>
          <w:highlight w:val="none"/>
        </w:rPr>
        <w:t>（二）参赛单位运动员、教练员应知晓体育竞赛的相关风险，确保自己身体状况符合参赛要求，自行承担非承办单位故意或重大过失导致的伤害。</w:t>
      </w:r>
      <w:bookmarkEnd w:id="1"/>
    </w:p>
    <w:p w14:paraId="3BBF6410">
      <w:pPr>
        <w:adjustRightInd w:val="0"/>
        <w:snapToGrid w:val="0"/>
        <w:spacing w:line="5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（三）未尽事宜，另行通知。</w:t>
      </w:r>
    </w:p>
    <w:p w14:paraId="386E954D">
      <w:pPr>
        <w:spacing w:line="540" w:lineRule="exact"/>
        <w:rPr>
          <w:highlight w:val="none"/>
        </w:rPr>
      </w:pPr>
    </w:p>
    <w:p w14:paraId="746870D0">
      <w:pPr>
        <w:spacing w:line="540" w:lineRule="exact"/>
        <w:rPr>
          <w:highlight w:val="none"/>
        </w:rPr>
      </w:pPr>
    </w:p>
    <w:p w14:paraId="4B2C4EAF">
      <w:pPr>
        <w:pStyle w:val="11"/>
        <w:ind w:left="0" w:leftChars="0" w:firstLine="0" w:firstLineChars="0"/>
        <w:rPr>
          <w:highlight w:val="none"/>
        </w:rPr>
      </w:pPr>
    </w:p>
    <w:p w14:paraId="258F9B94">
      <w:pPr>
        <w:ind w:left="0" w:leftChars="0" w:firstLineChars="0"/>
        <w:rPr>
          <w:highlight w:val="none"/>
        </w:rPr>
      </w:pPr>
      <w:r>
        <w:rPr>
          <w:highlight w:val="none"/>
        </w:rPr>
        <w:br w:type="page"/>
      </w:r>
    </w:p>
    <w:p w14:paraId="0BEB5D7A">
      <w:pPr>
        <w:adjustRightInd w:val="0"/>
        <w:snapToGrid w:val="0"/>
        <w:spacing w:line="540" w:lineRule="exact"/>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附件1</w:t>
      </w:r>
    </w:p>
    <w:p w14:paraId="1996142F">
      <w:pPr>
        <w:pStyle w:val="11"/>
        <w:ind w:firstLine="0"/>
        <w:jc w:val="center"/>
        <w:rPr>
          <w:rFonts w:hint="default" w:ascii="宋体" w:hAnsi="宋体" w:eastAsia="宋体" w:cs="宋体"/>
          <w:b/>
          <w:bCs/>
          <w:kern w:val="2"/>
          <w:sz w:val="36"/>
          <w:szCs w:val="36"/>
          <w:highlight w:val="none"/>
          <w:lang w:val="en-US" w:eastAsia="zh-CN" w:bidi="ar-SA"/>
        </w:rPr>
      </w:pPr>
      <w:r>
        <w:rPr>
          <w:rFonts w:hint="eastAsia" w:ascii="宋体" w:hAnsi="宋体" w:eastAsia="宋体" w:cs="宋体"/>
          <w:b/>
          <w:bCs/>
          <w:kern w:val="2"/>
          <w:sz w:val="36"/>
          <w:szCs w:val="36"/>
          <w:highlight w:val="none"/>
          <w:lang w:val="en-US" w:eastAsia="zh-CN" w:bidi="ar-SA"/>
        </w:rPr>
        <w:t>积分表</w:t>
      </w:r>
    </w:p>
    <w:tbl>
      <w:tblPr>
        <w:tblStyle w:val="13"/>
        <w:tblpPr w:leftFromText="180" w:rightFromText="180" w:vertAnchor="text" w:horzAnchor="page" w:tblpX="1188" w:tblpY="2124"/>
        <w:tblOverlap w:val="never"/>
        <w:tblW w:w="90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293"/>
        <w:gridCol w:w="1895"/>
        <w:gridCol w:w="1742"/>
        <w:gridCol w:w="2100"/>
      </w:tblGrid>
      <w:tr w14:paraId="6D14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3350" w:type="dxa"/>
            <w:gridSpan w:val="2"/>
            <w:vMerge w:val="restart"/>
            <w:tcBorders>
              <w:tl2br w:val="nil"/>
              <w:tr2bl w:val="nil"/>
            </w:tcBorders>
            <w:vAlign w:val="center"/>
          </w:tcPr>
          <w:p w14:paraId="46DCF87E">
            <w:pPr>
              <w:pStyle w:val="11"/>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积分</w:t>
            </w:r>
          </w:p>
        </w:tc>
        <w:tc>
          <w:tcPr>
            <w:tcW w:w="5737" w:type="dxa"/>
            <w:gridSpan w:val="3"/>
            <w:tcBorders>
              <w:tl2br w:val="nil"/>
              <w:tr2bl w:val="nil"/>
            </w:tcBorders>
            <w:vAlign w:val="center"/>
          </w:tcPr>
          <w:p w14:paraId="256D2362">
            <w:pPr>
              <w:pStyle w:val="11"/>
              <w:ind w:firstLine="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组别</w:t>
            </w:r>
          </w:p>
        </w:tc>
      </w:tr>
      <w:tr w14:paraId="1821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3350" w:type="dxa"/>
            <w:gridSpan w:val="2"/>
            <w:vMerge w:val="continue"/>
            <w:tcBorders>
              <w:tl2br w:val="nil"/>
              <w:tr2bl w:val="nil"/>
            </w:tcBorders>
            <w:vAlign w:val="center"/>
          </w:tcPr>
          <w:p w14:paraId="4B9C5C62">
            <w:pPr>
              <w:pStyle w:val="11"/>
              <w:ind w:firstLine="0"/>
              <w:jc w:val="center"/>
              <w:rPr>
                <w:rFonts w:hint="eastAsia" w:ascii="仿宋" w:hAnsi="仿宋" w:eastAsia="仿宋" w:cs="仿宋"/>
                <w:sz w:val="28"/>
                <w:szCs w:val="32"/>
                <w:highlight w:val="none"/>
                <w:vertAlign w:val="baseline"/>
                <w:lang w:val="en-US" w:eastAsia="zh-CN"/>
              </w:rPr>
            </w:pPr>
          </w:p>
        </w:tc>
        <w:tc>
          <w:tcPr>
            <w:tcW w:w="1895" w:type="dxa"/>
            <w:tcBorders>
              <w:tl2br w:val="nil"/>
              <w:tr2bl w:val="nil"/>
            </w:tcBorders>
            <w:vAlign w:val="center"/>
          </w:tcPr>
          <w:p w14:paraId="30B30C68">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A组</w:t>
            </w:r>
          </w:p>
          <w:p w14:paraId="0DE71402">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男子冰球</w:t>
            </w:r>
          </w:p>
        </w:tc>
        <w:tc>
          <w:tcPr>
            <w:tcW w:w="1742" w:type="dxa"/>
            <w:tcBorders>
              <w:tl2br w:val="nil"/>
              <w:tr2bl w:val="nil"/>
            </w:tcBorders>
            <w:vAlign w:val="center"/>
          </w:tcPr>
          <w:p w14:paraId="1DA39F79">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eastAsia"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B</w:t>
            </w:r>
            <w:r>
              <w:rPr>
                <w:rFonts w:hint="eastAsia" w:ascii="仿宋" w:hAnsi="仿宋" w:eastAsia="仿宋" w:cs="仿宋"/>
                <w:sz w:val="28"/>
                <w:szCs w:val="32"/>
                <w:highlight w:val="none"/>
                <w:vertAlign w:val="baseline"/>
                <w:lang w:val="en-US" w:eastAsia="zh-CN"/>
              </w:rPr>
              <w:t>组</w:t>
            </w:r>
          </w:p>
          <w:p w14:paraId="3897F909">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男子冰球</w:t>
            </w:r>
          </w:p>
        </w:tc>
        <w:tc>
          <w:tcPr>
            <w:tcW w:w="2100" w:type="dxa"/>
            <w:tcBorders>
              <w:tl2br w:val="nil"/>
              <w:tr2bl w:val="nil"/>
            </w:tcBorders>
            <w:vAlign w:val="center"/>
          </w:tcPr>
          <w:p w14:paraId="3DF4D927">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eastAsia" w:ascii="仿宋" w:hAnsi="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C组</w:t>
            </w:r>
          </w:p>
          <w:p w14:paraId="64E61ED7">
            <w:pPr>
              <w:pStyle w:val="11"/>
              <w:keepNext w:val="0"/>
              <w:keepLines w:val="0"/>
              <w:pageBreakBefore w:val="0"/>
              <w:widowControl w:val="0"/>
              <w:kinsoku/>
              <w:wordWrap/>
              <w:overflowPunct/>
              <w:topLinePunct w:val="0"/>
              <w:autoSpaceDE/>
              <w:autoSpaceDN/>
              <w:bidi w:val="0"/>
              <w:adjustRightInd/>
              <w:snapToGrid/>
              <w:spacing w:line="340" w:lineRule="exact"/>
              <w:ind w:left="0" w:leftChars="0" w:firstLine="0" w:firstLineChars="0"/>
              <w:jc w:val="center"/>
              <w:textAlignment w:val="auto"/>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男女混合冰球</w:t>
            </w:r>
          </w:p>
        </w:tc>
      </w:tr>
      <w:tr w14:paraId="66B5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vMerge w:val="restart"/>
            <w:tcBorders>
              <w:tl2br w:val="nil"/>
              <w:tr2bl w:val="nil"/>
            </w:tcBorders>
            <w:vAlign w:val="center"/>
          </w:tcPr>
          <w:p w14:paraId="156A91ED">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名次</w:t>
            </w:r>
          </w:p>
        </w:tc>
        <w:tc>
          <w:tcPr>
            <w:tcW w:w="2293" w:type="dxa"/>
            <w:tcBorders>
              <w:tl2br w:val="nil"/>
              <w:tr2bl w:val="nil"/>
            </w:tcBorders>
            <w:vAlign w:val="center"/>
          </w:tcPr>
          <w:p w14:paraId="5BBD79D2">
            <w:pPr>
              <w:pStyle w:val="11"/>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第一名</w:t>
            </w:r>
          </w:p>
        </w:tc>
        <w:tc>
          <w:tcPr>
            <w:tcW w:w="1895" w:type="dxa"/>
            <w:tcBorders>
              <w:tl2br w:val="nil"/>
              <w:tr2bl w:val="nil"/>
            </w:tcBorders>
            <w:vAlign w:val="center"/>
          </w:tcPr>
          <w:p w14:paraId="58896C9E">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30</w:t>
            </w:r>
          </w:p>
        </w:tc>
        <w:tc>
          <w:tcPr>
            <w:tcW w:w="1742" w:type="dxa"/>
            <w:tcBorders>
              <w:tl2br w:val="nil"/>
              <w:tr2bl w:val="nil"/>
            </w:tcBorders>
            <w:shd w:val="clear" w:color="auto" w:fill="auto"/>
            <w:vAlign w:val="center"/>
          </w:tcPr>
          <w:p w14:paraId="69310FC0">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28</w:t>
            </w:r>
          </w:p>
        </w:tc>
        <w:tc>
          <w:tcPr>
            <w:tcW w:w="2100" w:type="dxa"/>
            <w:tcBorders>
              <w:tl2br w:val="nil"/>
              <w:tr2bl w:val="nil"/>
            </w:tcBorders>
            <w:shd w:val="clear" w:color="auto" w:fill="auto"/>
            <w:vAlign w:val="center"/>
          </w:tcPr>
          <w:p w14:paraId="26C33515">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26</w:t>
            </w:r>
          </w:p>
        </w:tc>
      </w:tr>
      <w:tr w14:paraId="0887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7" w:type="dxa"/>
            <w:vMerge w:val="continue"/>
            <w:tcBorders>
              <w:tl2br w:val="nil"/>
              <w:tr2bl w:val="nil"/>
            </w:tcBorders>
            <w:vAlign w:val="center"/>
          </w:tcPr>
          <w:p w14:paraId="267D29BA">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vAlign w:val="center"/>
          </w:tcPr>
          <w:p w14:paraId="20C2194A">
            <w:pPr>
              <w:pStyle w:val="11"/>
              <w:ind w:left="0" w:leftChars="0" w:firstLine="0" w:firstLineChars="0"/>
              <w:jc w:val="center"/>
              <w:rPr>
                <w:rFonts w:hint="eastAsia" w:ascii="仿宋" w:hAnsi="仿宋" w:eastAsia="仿宋" w:cs="仿宋"/>
                <w:sz w:val="28"/>
                <w:szCs w:val="32"/>
                <w:highlight w:val="none"/>
                <w:vertAlign w:val="baseline"/>
                <w:lang w:val="en-US" w:eastAsia="zh-CN"/>
              </w:rPr>
            </w:pPr>
            <w:r>
              <w:rPr>
                <w:rFonts w:hint="eastAsia" w:ascii="仿宋" w:hAnsi="仿宋" w:eastAsia="仿宋" w:cs="仿宋"/>
                <w:sz w:val="28"/>
                <w:szCs w:val="32"/>
                <w:highlight w:val="none"/>
                <w:vertAlign w:val="baseline"/>
                <w:lang w:val="en-US" w:eastAsia="zh-CN"/>
              </w:rPr>
              <w:t>第二名</w:t>
            </w:r>
          </w:p>
        </w:tc>
        <w:tc>
          <w:tcPr>
            <w:tcW w:w="1895" w:type="dxa"/>
            <w:tcBorders>
              <w:tl2br w:val="nil"/>
              <w:tr2bl w:val="nil"/>
            </w:tcBorders>
            <w:vAlign w:val="center"/>
          </w:tcPr>
          <w:p w14:paraId="711B958B">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25</w:t>
            </w:r>
          </w:p>
        </w:tc>
        <w:tc>
          <w:tcPr>
            <w:tcW w:w="1742" w:type="dxa"/>
            <w:tcBorders>
              <w:tl2br w:val="nil"/>
              <w:tr2bl w:val="nil"/>
            </w:tcBorders>
            <w:shd w:val="clear" w:color="auto" w:fill="auto"/>
            <w:vAlign w:val="center"/>
          </w:tcPr>
          <w:p w14:paraId="710F3FD1">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24</w:t>
            </w:r>
          </w:p>
        </w:tc>
        <w:tc>
          <w:tcPr>
            <w:tcW w:w="2100" w:type="dxa"/>
            <w:tcBorders>
              <w:tl2br w:val="nil"/>
              <w:tr2bl w:val="nil"/>
            </w:tcBorders>
            <w:shd w:val="clear" w:color="auto" w:fill="auto"/>
            <w:vAlign w:val="center"/>
          </w:tcPr>
          <w:p w14:paraId="31B62C6A">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22</w:t>
            </w:r>
          </w:p>
        </w:tc>
      </w:tr>
      <w:tr w14:paraId="3775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2CDB8E8A">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2942D711">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第三名</w:t>
            </w:r>
          </w:p>
        </w:tc>
        <w:tc>
          <w:tcPr>
            <w:tcW w:w="1895" w:type="dxa"/>
            <w:tcBorders>
              <w:tl2br w:val="nil"/>
              <w:tr2bl w:val="nil"/>
            </w:tcBorders>
            <w:vAlign w:val="center"/>
          </w:tcPr>
          <w:p w14:paraId="63BA7B46">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21</w:t>
            </w:r>
          </w:p>
        </w:tc>
        <w:tc>
          <w:tcPr>
            <w:tcW w:w="1742" w:type="dxa"/>
            <w:tcBorders>
              <w:tl2br w:val="nil"/>
              <w:tr2bl w:val="nil"/>
            </w:tcBorders>
            <w:shd w:val="clear" w:color="auto" w:fill="auto"/>
            <w:vAlign w:val="center"/>
          </w:tcPr>
          <w:p w14:paraId="6857DDE6">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20</w:t>
            </w:r>
          </w:p>
        </w:tc>
        <w:tc>
          <w:tcPr>
            <w:tcW w:w="2100" w:type="dxa"/>
            <w:tcBorders>
              <w:tl2br w:val="nil"/>
              <w:tr2bl w:val="nil"/>
            </w:tcBorders>
            <w:shd w:val="clear" w:color="auto" w:fill="auto"/>
            <w:vAlign w:val="center"/>
          </w:tcPr>
          <w:p w14:paraId="13E51827">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18</w:t>
            </w:r>
          </w:p>
        </w:tc>
      </w:tr>
      <w:tr w14:paraId="0B9A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65C2CEFF">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75C50C4A">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第四名</w:t>
            </w:r>
          </w:p>
        </w:tc>
        <w:tc>
          <w:tcPr>
            <w:tcW w:w="1895" w:type="dxa"/>
            <w:tcBorders>
              <w:tl2br w:val="nil"/>
              <w:tr2bl w:val="nil"/>
            </w:tcBorders>
            <w:vAlign w:val="center"/>
          </w:tcPr>
          <w:p w14:paraId="3108791F">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17</w:t>
            </w:r>
          </w:p>
        </w:tc>
        <w:tc>
          <w:tcPr>
            <w:tcW w:w="1742" w:type="dxa"/>
            <w:tcBorders>
              <w:tl2br w:val="nil"/>
              <w:tr2bl w:val="nil"/>
            </w:tcBorders>
            <w:shd w:val="clear" w:color="auto" w:fill="auto"/>
            <w:vAlign w:val="center"/>
          </w:tcPr>
          <w:p w14:paraId="0817407F">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16</w:t>
            </w:r>
          </w:p>
        </w:tc>
        <w:tc>
          <w:tcPr>
            <w:tcW w:w="2100" w:type="dxa"/>
            <w:tcBorders>
              <w:tl2br w:val="nil"/>
              <w:tr2bl w:val="nil"/>
            </w:tcBorders>
            <w:shd w:val="clear" w:color="auto" w:fill="auto"/>
            <w:vAlign w:val="center"/>
          </w:tcPr>
          <w:p w14:paraId="6B785339">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15</w:t>
            </w:r>
          </w:p>
        </w:tc>
      </w:tr>
      <w:tr w14:paraId="0253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73D4FB87">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1C0527F8">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第五名</w:t>
            </w:r>
          </w:p>
        </w:tc>
        <w:tc>
          <w:tcPr>
            <w:tcW w:w="1895" w:type="dxa"/>
            <w:tcBorders>
              <w:tl2br w:val="nil"/>
              <w:tr2bl w:val="nil"/>
            </w:tcBorders>
            <w:vAlign w:val="center"/>
          </w:tcPr>
          <w:p w14:paraId="299664CB">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14</w:t>
            </w:r>
          </w:p>
        </w:tc>
        <w:tc>
          <w:tcPr>
            <w:tcW w:w="1742" w:type="dxa"/>
            <w:tcBorders>
              <w:tl2br w:val="nil"/>
              <w:tr2bl w:val="nil"/>
            </w:tcBorders>
            <w:shd w:val="clear" w:color="auto" w:fill="auto"/>
            <w:vAlign w:val="center"/>
          </w:tcPr>
          <w:p w14:paraId="7FC5422E">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13</w:t>
            </w:r>
          </w:p>
        </w:tc>
        <w:tc>
          <w:tcPr>
            <w:tcW w:w="2100" w:type="dxa"/>
            <w:tcBorders>
              <w:tl2br w:val="nil"/>
              <w:tr2bl w:val="nil"/>
            </w:tcBorders>
            <w:shd w:val="clear" w:color="auto" w:fill="auto"/>
            <w:vAlign w:val="center"/>
          </w:tcPr>
          <w:p w14:paraId="3311C7E9">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12</w:t>
            </w:r>
          </w:p>
        </w:tc>
      </w:tr>
      <w:tr w14:paraId="4875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0488C0EE">
            <w:pPr>
              <w:pStyle w:val="11"/>
              <w:ind w:left="0" w:leftChars="0" w:firstLine="0" w:firstLineChars="0"/>
              <w:jc w:val="both"/>
              <w:rPr>
                <w:rFonts w:hint="default"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677C219F">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第六名</w:t>
            </w:r>
          </w:p>
        </w:tc>
        <w:tc>
          <w:tcPr>
            <w:tcW w:w="1895" w:type="dxa"/>
            <w:tcBorders>
              <w:tl2br w:val="nil"/>
              <w:tr2bl w:val="nil"/>
            </w:tcBorders>
            <w:vAlign w:val="center"/>
          </w:tcPr>
          <w:p w14:paraId="33543FC1">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11</w:t>
            </w:r>
          </w:p>
        </w:tc>
        <w:tc>
          <w:tcPr>
            <w:tcW w:w="1742" w:type="dxa"/>
            <w:tcBorders>
              <w:tl2br w:val="nil"/>
              <w:tr2bl w:val="nil"/>
            </w:tcBorders>
            <w:shd w:val="clear" w:color="auto" w:fill="auto"/>
            <w:vAlign w:val="center"/>
          </w:tcPr>
          <w:p w14:paraId="3DE7E079">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10</w:t>
            </w:r>
          </w:p>
        </w:tc>
        <w:tc>
          <w:tcPr>
            <w:tcW w:w="2100" w:type="dxa"/>
            <w:tcBorders>
              <w:tl2br w:val="nil"/>
              <w:tr2bl w:val="nil"/>
            </w:tcBorders>
            <w:shd w:val="clear" w:color="auto" w:fill="auto"/>
            <w:vAlign w:val="center"/>
          </w:tcPr>
          <w:p w14:paraId="16F1364A">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10</w:t>
            </w:r>
          </w:p>
        </w:tc>
      </w:tr>
      <w:tr w14:paraId="3E69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102D3EA8">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6A1E9818">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第七名</w:t>
            </w:r>
          </w:p>
        </w:tc>
        <w:tc>
          <w:tcPr>
            <w:tcW w:w="1895" w:type="dxa"/>
            <w:tcBorders>
              <w:tl2br w:val="nil"/>
              <w:tr2bl w:val="nil"/>
            </w:tcBorders>
            <w:vAlign w:val="center"/>
          </w:tcPr>
          <w:p w14:paraId="48618167">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8</w:t>
            </w:r>
          </w:p>
        </w:tc>
        <w:tc>
          <w:tcPr>
            <w:tcW w:w="1742" w:type="dxa"/>
            <w:tcBorders>
              <w:tl2br w:val="nil"/>
              <w:tr2bl w:val="nil"/>
            </w:tcBorders>
            <w:shd w:val="clear" w:color="auto" w:fill="auto"/>
            <w:vAlign w:val="center"/>
          </w:tcPr>
          <w:p w14:paraId="2380621D">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8</w:t>
            </w:r>
          </w:p>
        </w:tc>
        <w:tc>
          <w:tcPr>
            <w:tcW w:w="2100" w:type="dxa"/>
            <w:tcBorders>
              <w:tl2br w:val="nil"/>
              <w:tr2bl w:val="nil"/>
            </w:tcBorders>
            <w:shd w:val="clear" w:color="auto" w:fill="auto"/>
            <w:vAlign w:val="center"/>
          </w:tcPr>
          <w:p w14:paraId="706AEF70">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8</w:t>
            </w:r>
          </w:p>
        </w:tc>
      </w:tr>
      <w:tr w14:paraId="5302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135DFDCF">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4B6BF7E0">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第八名</w:t>
            </w:r>
          </w:p>
        </w:tc>
        <w:tc>
          <w:tcPr>
            <w:tcW w:w="1895" w:type="dxa"/>
            <w:tcBorders>
              <w:tl2br w:val="nil"/>
              <w:tr2bl w:val="nil"/>
            </w:tcBorders>
            <w:vAlign w:val="center"/>
          </w:tcPr>
          <w:p w14:paraId="0354F368">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6</w:t>
            </w:r>
          </w:p>
        </w:tc>
        <w:tc>
          <w:tcPr>
            <w:tcW w:w="1742" w:type="dxa"/>
            <w:tcBorders>
              <w:tl2br w:val="nil"/>
              <w:tr2bl w:val="nil"/>
            </w:tcBorders>
            <w:shd w:val="clear" w:color="auto" w:fill="auto"/>
            <w:vAlign w:val="center"/>
          </w:tcPr>
          <w:p w14:paraId="36ED6939">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6</w:t>
            </w:r>
          </w:p>
        </w:tc>
        <w:tc>
          <w:tcPr>
            <w:tcW w:w="2100" w:type="dxa"/>
            <w:tcBorders>
              <w:tl2br w:val="nil"/>
              <w:tr2bl w:val="nil"/>
            </w:tcBorders>
            <w:shd w:val="clear" w:color="auto" w:fill="auto"/>
            <w:vAlign w:val="center"/>
          </w:tcPr>
          <w:p w14:paraId="2A218A52">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6</w:t>
            </w:r>
          </w:p>
        </w:tc>
      </w:tr>
      <w:tr w14:paraId="2E3F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5D040E35">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52C7D619">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第九名</w:t>
            </w:r>
          </w:p>
        </w:tc>
        <w:tc>
          <w:tcPr>
            <w:tcW w:w="1895" w:type="dxa"/>
            <w:tcBorders>
              <w:tl2br w:val="nil"/>
              <w:tr2bl w:val="nil"/>
            </w:tcBorders>
            <w:vAlign w:val="center"/>
          </w:tcPr>
          <w:p w14:paraId="0B2DC64A">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4</w:t>
            </w:r>
          </w:p>
        </w:tc>
        <w:tc>
          <w:tcPr>
            <w:tcW w:w="1742" w:type="dxa"/>
            <w:tcBorders>
              <w:tl2br w:val="nil"/>
              <w:tr2bl w:val="nil"/>
            </w:tcBorders>
            <w:shd w:val="clear" w:color="auto" w:fill="auto"/>
            <w:vAlign w:val="center"/>
          </w:tcPr>
          <w:p w14:paraId="207D7B2F">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4</w:t>
            </w:r>
          </w:p>
        </w:tc>
        <w:tc>
          <w:tcPr>
            <w:tcW w:w="2100" w:type="dxa"/>
            <w:tcBorders>
              <w:tl2br w:val="nil"/>
              <w:tr2bl w:val="nil"/>
            </w:tcBorders>
            <w:shd w:val="clear" w:color="auto" w:fill="auto"/>
            <w:vAlign w:val="center"/>
          </w:tcPr>
          <w:p w14:paraId="0FF6A939">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4</w:t>
            </w:r>
          </w:p>
        </w:tc>
      </w:tr>
      <w:tr w14:paraId="4EE5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Borders>
              <w:tl2br w:val="nil"/>
              <w:tr2bl w:val="nil"/>
            </w:tcBorders>
            <w:vAlign w:val="center"/>
          </w:tcPr>
          <w:p w14:paraId="0C855591">
            <w:pPr>
              <w:pStyle w:val="11"/>
              <w:ind w:firstLine="0"/>
              <w:jc w:val="center"/>
              <w:rPr>
                <w:rFonts w:hint="eastAsia" w:ascii="仿宋" w:hAnsi="仿宋" w:eastAsia="仿宋" w:cs="仿宋"/>
                <w:sz w:val="28"/>
                <w:szCs w:val="32"/>
                <w:highlight w:val="none"/>
                <w:vertAlign w:val="baseline"/>
                <w:lang w:val="en-US" w:eastAsia="zh-CN"/>
              </w:rPr>
            </w:pPr>
          </w:p>
        </w:tc>
        <w:tc>
          <w:tcPr>
            <w:tcW w:w="2293" w:type="dxa"/>
            <w:tcBorders>
              <w:tl2br w:val="nil"/>
              <w:tr2bl w:val="nil"/>
            </w:tcBorders>
            <w:shd w:val="clear" w:color="auto" w:fill="auto"/>
            <w:vAlign w:val="center"/>
          </w:tcPr>
          <w:p w14:paraId="12695E9E">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第十名</w:t>
            </w:r>
          </w:p>
        </w:tc>
        <w:tc>
          <w:tcPr>
            <w:tcW w:w="1895" w:type="dxa"/>
            <w:tcBorders>
              <w:tl2br w:val="nil"/>
              <w:tr2bl w:val="nil"/>
            </w:tcBorders>
            <w:vAlign w:val="center"/>
          </w:tcPr>
          <w:p w14:paraId="7A57ABAD">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2</w:t>
            </w:r>
          </w:p>
        </w:tc>
        <w:tc>
          <w:tcPr>
            <w:tcW w:w="1742" w:type="dxa"/>
            <w:tcBorders>
              <w:tl2br w:val="nil"/>
              <w:tr2bl w:val="nil"/>
            </w:tcBorders>
            <w:shd w:val="clear" w:color="auto" w:fill="auto"/>
            <w:vAlign w:val="center"/>
          </w:tcPr>
          <w:p w14:paraId="0C1D7F0A">
            <w:pPr>
              <w:pStyle w:val="11"/>
              <w:ind w:left="0" w:leftChars="0" w:firstLine="0" w:firstLineChars="0"/>
              <w:jc w:val="center"/>
              <w:rPr>
                <w:rFonts w:hint="default"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w:t>
            </w:r>
          </w:p>
        </w:tc>
        <w:tc>
          <w:tcPr>
            <w:tcW w:w="2100" w:type="dxa"/>
            <w:tcBorders>
              <w:tl2br w:val="nil"/>
              <w:tr2bl w:val="nil"/>
            </w:tcBorders>
            <w:shd w:val="clear" w:color="auto" w:fill="auto"/>
            <w:vAlign w:val="center"/>
          </w:tcPr>
          <w:p w14:paraId="12E13AD4">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cs="仿宋"/>
                <w:sz w:val="28"/>
                <w:szCs w:val="32"/>
                <w:highlight w:val="none"/>
                <w:vertAlign w:val="baseline"/>
                <w:lang w:val="en-US" w:eastAsia="zh-CN"/>
              </w:rPr>
              <w:t>2</w:t>
            </w:r>
          </w:p>
        </w:tc>
      </w:tr>
      <w:tr w14:paraId="09DA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Merge w:val="continue"/>
          </w:tcPr>
          <w:p w14:paraId="3632C38A">
            <w:pPr>
              <w:pStyle w:val="11"/>
              <w:ind w:firstLine="0"/>
              <w:jc w:val="center"/>
              <w:rPr>
                <w:rFonts w:hint="eastAsia" w:ascii="仿宋" w:hAnsi="仿宋" w:eastAsia="仿宋" w:cs="仿宋"/>
                <w:sz w:val="28"/>
                <w:szCs w:val="32"/>
                <w:highlight w:val="none"/>
                <w:vertAlign w:val="baseline"/>
                <w:lang w:val="en-US" w:eastAsia="zh-CN"/>
              </w:rPr>
            </w:pPr>
          </w:p>
        </w:tc>
        <w:tc>
          <w:tcPr>
            <w:tcW w:w="2293" w:type="dxa"/>
            <w:shd w:val="clear" w:color="auto" w:fill="auto"/>
            <w:vAlign w:val="center"/>
          </w:tcPr>
          <w:p w14:paraId="21B453F2">
            <w:pPr>
              <w:pStyle w:val="11"/>
              <w:ind w:left="0" w:leftChars="0" w:firstLine="0" w:firstLineChars="0"/>
              <w:jc w:val="center"/>
              <w:rPr>
                <w:rFonts w:hint="eastAsia" w:ascii="仿宋" w:hAnsi="仿宋" w:eastAsia="仿宋" w:cs="仿宋"/>
                <w:kern w:val="2"/>
                <w:sz w:val="28"/>
                <w:szCs w:val="32"/>
                <w:highlight w:val="none"/>
                <w:vertAlign w:val="baseline"/>
                <w:lang w:val="en-US" w:eastAsia="zh-CN" w:bidi="ar-SA"/>
              </w:rPr>
            </w:pPr>
            <w:r>
              <w:rPr>
                <w:rFonts w:hint="eastAsia" w:ascii="仿宋" w:hAnsi="仿宋" w:eastAsia="仿宋" w:cs="仿宋"/>
                <w:sz w:val="28"/>
                <w:szCs w:val="32"/>
                <w:highlight w:val="none"/>
                <w:vertAlign w:val="baseline"/>
                <w:lang w:val="en-US" w:eastAsia="zh-CN"/>
              </w:rPr>
              <w:t>第十</w:t>
            </w:r>
            <w:r>
              <w:rPr>
                <w:rFonts w:hint="eastAsia" w:ascii="仿宋" w:hAnsi="仿宋" w:cs="仿宋"/>
                <w:sz w:val="28"/>
                <w:szCs w:val="32"/>
                <w:highlight w:val="none"/>
                <w:vertAlign w:val="baseline"/>
                <w:lang w:val="en-US" w:eastAsia="zh-CN"/>
              </w:rPr>
              <w:t>一</w:t>
            </w:r>
            <w:r>
              <w:rPr>
                <w:rFonts w:hint="eastAsia" w:ascii="仿宋" w:hAnsi="仿宋" w:eastAsia="仿宋" w:cs="仿宋"/>
                <w:sz w:val="28"/>
                <w:szCs w:val="32"/>
                <w:highlight w:val="none"/>
                <w:vertAlign w:val="baseline"/>
                <w:lang w:val="en-US" w:eastAsia="zh-CN"/>
              </w:rPr>
              <w:t>名及以后</w:t>
            </w:r>
          </w:p>
        </w:tc>
        <w:tc>
          <w:tcPr>
            <w:tcW w:w="1895" w:type="dxa"/>
          </w:tcPr>
          <w:p w14:paraId="201FED0C">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c>
          <w:tcPr>
            <w:tcW w:w="1742" w:type="dxa"/>
            <w:vAlign w:val="top"/>
          </w:tcPr>
          <w:p w14:paraId="1EA034BC">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c>
          <w:tcPr>
            <w:tcW w:w="2100" w:type="dxa"/>
            <w:vAlign w:val="top"/>
          </w:tcPr>
          <w:p w14:paraId="65B8BDD8">
            <w:pPr>
              <w:pStyle w:val="11"/>
              <w:ind w:left="0" w:leftChars="0" w:firstLine="0" w:firstLineChars="0"/>
              <w:jc w:val="center"/>
              <w:rPr>
                <w:rFonts w:hint="default" w:ascii="仿宋" w:hAnsi="仿宋" w:eastAsia="仿宋" w:cs="仿宋"/>
                <w:sz w:val="28"/>
                <w:szCs w:val="32"/>
                <w:highlight w:val="none"/>
                <w:vertAlign w:val="baseline"/>
                <w:lang w:val="en-US" w:eastAsia="zh-CN"/>
              </w:rPr>
            </w:pPr>
            <w:r>
              <w:rPr>
                <w:rFonts w:hint="eastAsia" w:ascii="仿宋" w:hAnsi="仿宋" w:cs="仿宋"/>
                <w:sz w:val="28"/>
                <w:szCs w:val="32"/>
                <w:highlight w:val="none"/>
                <w:vertAlign w:val="baseline"/>
                <w:lang w:val="en-US" w:eastAsia="zh-CN"/>
              </w:rPr>
              <w:t>0</w:t>
            </w:r>
          </w:p>
        </w:tc>
      </w:tr>
    </w:tbl>
    <w:p w14:paraId="510C5838">
      <w:pPr>
        <w:pStyle w:val="11"/>
        <w:ind w:left="0" w:leftChars="0" w:firstLine="560" w:firstLineChars="200"/>
        <w:rPr>
          <w:rFonts w:hint="eastAsia" w:ascii="仿宋" w:hAnsi="仿宋" w:eastAsia="仿宋" w:cs="仿宋"/>
          <w:sz w:val="28"/>
          <w:szCs w:val="32"/>
          <w:highlight w:val="none"/>
          <w:lang w:val="en-US" w:eastAsia="zh-CN"/>
        </w:rPr>
      </w:pPr>
      <w:r>
        <w:rPr>
          <w:rFonts w:hint="eastAsia" w:ascii="仿宋" w:hAnsi="仿宋" w:eastAsia="仿宋" w:cs="仿宋"/>
          <w:sz w:val="28"/>
          <w:szCs w:val="32"/>
          <w:highlight w:val="none"/>
          <w:lang w:val="en-US" w:eastAsia="zh-CN"/>
        </w:rPr>
        <w:t>以下积分对应赛事为：202</w:t>
      </w:r>
      <w:r>
        <w:rPr>
          <w:rFonts w:hint="eastAsia" w:ascii="仿宋" w:hAnsi="仿宋" w:cs="仿宋"/>
          <w:sz w:val="28"/>
          <w:szCs w:val="32"/>
          <w:highlight w:val="none"/>
          <w:lang w:val="en-US" w:eastAsia="zh-CN"/>
        </w:rPr>
        <w:t>6</w:t>
      </w:r>
      <w:r>
        <w:rPr>
          <w:rFonts w:hint="eastAsia" w:ascii="仿宋" w:hAnsi="仿宋" w:eastAsia="仿宋" w:cs="仿宋"/>
          <w:sz w:val="28"/>
          <w:szCs w:val="32"/>
          <w:highlight w:val="none"/>
          <w:lang w:val="en-US" w:eastAsia="zh-CN"/>
        </w:rPr>
        <w:t>年上海市青少年</w:t>
      </w:r>
      <w:r>
        <w:rPr>
          <w:rFonts w:hint="eastAsia" w:ascii="仿宋" w:hAnsi="仿宋" w:cs="仿宋"/>
          <w:sz w:val="28"/>
          <w:szCs w:val="32"/>
          <w:highlight w:val="none"/>
          <w:lang w:val="en-US" w:eastAsia="zh-CN"/>
        </w:rPr>
        <w:t>冰球</w:t>
      </w:r>
      <w:r>
        <w:rPr>
          <w:rFonts w:hint="eastAsia" w:ascii="仿宋" w:hAnsi="仿宋" w:eastAsia="仿宋" w:cs="仿宋"/>
          <w:sz w:val="28"/>
          <w:szCs w:val="32"/>
          <w:highlight w:val="none"/>
          <w:lang w:val="en-US" w:eastAsia="zh-CN"/>
        </w:rPr>
        <w:t>锦标赛。</w:t>
      </w:r>
    </w:p>
    <w:p w14:paraId="71500021">
      <w:pPr>
        <w:pStyle w:val="11"/>
        <w:ind w:left="0" w:leftChars="0" w:firstLine="560" w:firstLineChars="200"/>
        <w:rPr>
          <w:rFonts w:hint="default"/>
          <w:highlight w:val="none"/>
          <w:lang w:val="en-US" w:eastAsia="zh-CN"/>
        </w:rPr>
      </w:pPr>
      <w:r>
        <w:rPr>
          <w:rFonts w:hint="eastAsia" w:ascii="仿宋" w:hAnsi="仿宋" w:cs="仿宋"/>
          <w:sz w:val="28"/>
          <w:szCs w:val="32"/>
          <w:highlight w:val="none"/>
          <w:lang w:val="en-US" w:eastAsia="zh-CN"/>
        </w:rPr>
        <w:t>各参赛单位在</w:t>
      </w:r>
      <w:r>
        <w:rPr>
          <w:rFonts w:hint="eastAsia" w:ascii="仿宋" w:hAnsi="仿宋" w:eastAsia="仿宋" w:cs="仿宋"/>
          <w:sz w:val="28"/>
          <w:szCs w:val="32"/>
          <w:highlight w:val="none"/>
          <w:lang w:val="en-US" w:eastAsia="zh-CN"/>
        </w:rPr>
        <w:t>202</w:t>
      </w:r>
      <w:r>
        <w:rPr>
          <w:rFonts w:hint="eastAsia" w:ascii="仿宋" w:hAnsi="仿宋" w:cs="仿宋"/>
          <w:sz w:val="28"/>
          <w:szCs w:val="32"/>
          <w:highlight w:val="none"/>
          <w:lang w:val="en-US" w:eastAsia="zh-CN"/>
        </w:rPr>
        <w:t>6</w:t>
      </w:r>
      <w:r>
        <w:rPr>
          <w:rFonts w:hint="eastAsia" w:ascii="仿宋" w:hAnsi="仿宋" w:eastAsia="仿宋" w:cs="仿宋"/>
          <w:sz w:val="28"/>
          <w:szCs w:val="32"/>
          <w:highlight w:val="none"/>
          <w:lang w:val="en-US" w:eastAsia="zh-CN"/>
        </w:rPr>
        <w:t>年上海市青少年</w:t>
      </w:r>
      <w:r>
        <w:rPr>
          <w:rFonts w:hint="eastAsia" w:ascii="仿宋" w:hAnsi="仿宋" w:cs="仿宋"/>
          <w:sz w:val="28"/>
          <w:szCs w:val="32"/>
          <w:highlight w:val="none"/>
          <w:lang w:val="en-US" w:eastAsia="zh-CN"/>
        </w:rPr>
        <w:t>冰球</w:t>
      </w:r>
      <w:r>
        <w:rPr>
          <w:rFonts w:hint="eastAsia" w:ascii="仿宋" w:hAnsi="仿宋" w:eastAsia="仿宋" w:cs="仿宋"/>
          <w:sz w:val="28"/>
          <w:szCs w:val="32"/>
          <w:highlight w:val="none"/>
          <w:lang w:val="en-US" w:eastAsia="zh-CN"/>
        </w:rPr>
        <w:t>锦标赛</w:t>
      </w:r>
      <w:r>
        <w:rPr>
          <w:rFonts w:hint="eastAsia" w:ascii="仿宋" w:hAnsi="仿宋" w:cs="仿宋"/>
          <w:sz w:val="28"/>
          <w:szCs w:val="32"/>
          <w:highlight w:val="none"/>
          <w:lang w:val="en-US" w:eastAsia="zh-CN"/>
        </w:rPr>
        <w:t>有两支队伍参赛的计算积分之和。</w:t>
      </w:r>
    </w:p>
    <w:p w14:paraId="58CA9747">
      <w:pPr>
        <w:spacing w:line="540" w:lineRule="exact"/>
        <w:rPr>
          <w:rFonts w:hint="eastAsia" w:eastAsia="宋体"/>
          <w:highlight w:val="none"/>
          <w:lang w:val="en-US" w:eastAsia="zh-CN"/>
        </w:rPr>
      </w:pP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C46421">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0C46421">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44278A"/>
    <w:rsid w:val="002A225D"/>
    <w:rsid w:val="0038156C"/>
    <w:rsid w:val="00431B88"/>
    <w:rsid w:val="0044278A"/>
    <w:rsid w:val="004E07DD"/>
    <w:rsid w:val="005C088A"/>
    <w:rsid w:val="00607D0B"/>
    <w:rsid w:val="009C337D"/>
    <w:rsid w:val="00A73759"/>
    <w:rsid w:val="00B01952"/>
    <w:rsid w:val="00CB3F40"/>
    <w:rsid w:val="00F16E78"/>
    <w:rsid w:val="00F52FCA"/>
    <w:rsid w:val="00F93AA1"/>
    <w:rsid w:val="0348159A"/>
    <w:rsid w:val="043D410E"/>
    <w:rsid w:val="047702E0"/>
    <w:rsid w:val="05BB24F7"/>
    <w:rsid w:val="075229E7"/>
    <w:rsid w:val="08E0221F"/>
    <w:rsid w:val="0966705E"/>
    <w:rsid w:val="097F7CE3"/>
    <w:rsid w:val="0980017F"/>
    <w:rsid w:val="0B454B4C"/>
    <w:rsid w:val="0B925AA8"/>
    <w:rsid w:val="0C656D19"/>
    <w:rsid w:val="0C943DDB"/>
    <w:rsid w:val="0F234C69"/>
    <w:rsid w:val="0F3A2649"/>
    <w:rsid w:val="11472E91"/>
    <w:rsid w:val="11963E18"/>
    <w:rsid w:val="11B147AE"/>
    <w:rsid w:val="122D52DF"/>
    <w:rsid w:val="12541D09"/>
    <w:rsid w:val="12863E8D"/>
    <w:rsid w:val="138A52B7"/>
    <w:rsid w:val="15D235CF"/>
    <w:rsid w:val="15DA0777"/>
    <w:rsid w:val="15DF7B3C"/>
    <w:rsid w:val="16DA0303"/>
    <w:rsid w:val="172123D6"/>
    <w:rsid w:val="180E295A"/>
    <w:rsid w:val="183A72AB"/>
    <w:rsid w:val="192561AE"/>
    <w:rsid w:val="19766978"/>
    <w:rsid w:val="19ED659F"/>
    <w:rsid w:val="1A206975"/>
    <w:rsid w:val="1A7D5B75"/>
    <w:rsid w:val="1B1A33C4"/>
    <w:rsid w:val="1C9563AA"/>
    <w:rsid w:val="1D5801D4"/>
    <w:rsid w:val="1EFF4DAB"/>
    <w:rsid w:val="229B4DEB"/>
    <w:rsid w:val="22E06CA1"/>
    <w:rsid w:val="23535D00"/>
    <w:rsid w:val="23FA3D93"/>
    <w:rsid w:val="246B6A3F"/>
    <w:rsid w:val="2480698E"/>
    <w:rsid w:val="24E156A1"/>
    <w:rsid w:val="256E4A38"/>
    <w:rsid w:val="25C805EC"/>
    <w:rsid w:val="25DF1492"/>
    <w:rsid w:val="26502390"/>
    <w:rsid w:val="26630315"/>
    <w:rsid w:val="27B5694E"/>
    <w:rsid w:val="28AA222B"/>
    <w:rsid w:val="292D69B8"/>
    <w:rsid w:val="2959155B"/>
    <w:rsid w:val="295959FF"/>
    <w:rsid w:val="2A303470"/>
    <w:rsid w:val="2A481CFC"/>
    <w:rsid w:val="2A895E70"/>
    <w:rsid w:val="2AC97C2B"/>
    <w:rsid w:val="2B3E6C5B"/>
    <w:rsid w:val="2BE617CC"/>
    <w:rsid w:val="2D0637A8"/>
    <w:rsid w:val="2D3227EF"/>
    <w:rsid w:val="2DA717B3"/>
    <w:rsid w:val="2F040BA6"/>
    <w:rsid w:val="2FB475A5"/>
    <w:rsid w:val="31B41A25"/>
    <w:rsid w:val="321A28DE"/>
    <w:rsid w:val="328533C1"/>
    <w:rsid w:val="32D6140A"/>
    <w:rsid w:val="332901F1"/>
    <w:rsid w:val="340C0912"/>
    <w:rsid w:val="34B74DFC"/>
    <w:rsid w:val="34F62570"/>
    <w:rsid w:val="357C0AAC"/>
    <w:rsid w:val="358F4C83"/>
    <w:rsid w:val="36D36DF1"/>
    <w:rsid w:val="36F545E5"/>
    <w:rsid w:val="37160A8C"/>
    <w:rsid w:val="37691503"/>
    <w:rsid w:val="37824373"/>
    <w:rsid w:val="38710670"/>
    <w:rsid w:val="39521C00"/>
    <w:rsid w:val="39673821"/>
    <w:rsid w:val="399530D6"/>
    <w:rsid w:val="39EB6200"/>
    <w:rsid w:val="3CCD6091"/>
    <w:rsid w:val="3F4E61D4"/>
    <w:rsid w:val="4172266A"/>
    <w:rsid w:val="423F50DF"/>
    <w:rsid w:val="42B850ED"/>
    <w:rsid w:val="433C7ACC"/>
    <w:rsid w:val="43805C0B"/>
    <w:rsid w:val="44670B79"/>
    <w:rsid w:val="446B0669"/>
    <w:rsid w:val="44AE36AA"/>
    <w:rsid w:val="4642364B"/>
    <w:rsid w:val="467A7FBD"/>
    <w:rsid w:val="469B2D5C"/>
    <w:rsid w:val="46C6602A"/>
    <w:rsid w:val="474D04FA"/>
    <w:rsid w:val="48E24C72"/>
    <w:rsid w:val="49852CAF"/>
    <w:rsid w:val="4A304379"/>
    <w:rsid w:val="4B50680B"/>
    <w:rsid w:val="4B7A73E4"/>
    <w:rsid w:val="4C0A69B9"/>
    <w:rsid w:val="4C3677AE"/>
    <w:rsid w:val="4D111FCA"/>
    <w:rsid w:val="4DEA29EE"/>
    <w:rsid w:val="4E3B72FE"/>
    <w:rsid w:val="4ED54067"/>
    <w:rsid w:val="4F5D5052"/>
    <w:rsid w:val="50B60EBE"/>
    <w:rsid w:val="51510BE7"/>
    <w:rsid w:val="51B01DB1"/>
    <w:rsid w:val="537D34FF"/>
    <w:rsid w:val="538D5B7F"/>
    <w:rsid w:val="56DE2F1C"/>
    <w:rsid w:val="57864B17"/>
    <w:rsid w:val="5BF22FC6"/>
    <w:rsid w:val="5C3B2BBF"/>
    <w:rsid w:val="5E015742"/>
    <w:rsid w:val="5F021772"/>
    <w:rsid w:val="5F345E09"/>
    <w:rsid w:val="61371BA7"/>
    <w:rsid w:val="61B41F06"/>
    <w:rsid w:val="624B6274"/>
    <w:rsid w:val="63C90AB0"/>
    <w:rsid w:val="63E36453"/>
    <w:rsid w:val="6454481E"/>
    <w:rsid w:val="648570CD"/>
    <w:rsid w:val="64966BE4"/>
    <w:rsid w:val="64C31F93"/>
    <w:rsid w:val="64D4595F"/>
    <w:rsid w:val="657C6129"/>
    <w:rsid w:val="662326FA"/>
    <w:rsid w:val="68E5013A"/>
    <w:rsid w:val="699658D9"/>
    <w:rsid w:val="6A276531"/>
    <w:rsid w:val="6AE71EEF"/>
    <w:rsid w:val="6B093B58"/>
    <w:rsid w:val="6B7834E8"/>
    <w:rsid w:val="6C101972"/>
    <w:rsid w:val="6C1B20C5"/>
    <w:rsid w:val="6D560EAF"/>
    <w:rsid w:val="6DA06D26"/>
    <w:rsid w:val="6DBD1686"/>
    <w:rsid w:val="6E7F4B8D"/>
    <w:rsid w:val="6E957F0D"/>
    <w:rsid w:val="6F7A7103"/>
    <w:rsid w:val="702F6B97"/>
    <w:rsid w:val="70DF15C6"/>
    <w:rsid w:val="71186BD3"/>
    <w:rsid w:val="71A46300"/>
    <w:rsid w:val="71B92164"/>
    <w:rsid w:val="720D425E"/>
    <w:rsid w:val="756D573F"/>
    <w:rsid w:val="75977B61"/>
    <w:rsid w:val="76DA5057"/>
    <w:rsid w:val="79420C91"/>
    <w:rsid w:val="79694230"/>
    <w:rsid w:val="7AB82119"/>
    <w:rsid w:val="7AEF6BF7"/>
    <w:rsid w:val="7B136D89"/>
    <w:rsid w:val="7BC2255D"/>
    <w:rsid w:val="7C9570F1"/>
    <w:rsid w:val="7CAD0B17"/>
    <w:rsid w:val="7DD16A88"/>
    <w:rsid w:val="7F9C5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3"/>
    <w:qFormat/>
    <w:uiPriority w:val="99"/>
    <w:pPr>
      <w:jc w:val="left"/>
    </w:pPr>
  </w:style>
  <w:style w:type="paragraph" w:styleId="4">
    <w:name w:val="Body Text Indent"/>
    <w:basedOn w:val="1"/>
    <w:qFormat/>
    <w:uiPriority w:val="0"/>
    <w:pPr>
      <w:ind w:firstLine="592"/>
    </w:pPr>
  </w:style>
  <w:style w:type="paragraph" w:styleId="5">
    <w:name w:val="endnote text"/>
    <w:basedOn w:val="1"/>
    <w:link w:val="26"/>
    <w:qFormat/>
    <w:uiPriority w:val="99"/>
    <w:pPr>
      <w:snapToGrid w:val="0"/>
      <w:jc w:val="left"/>
    </w:pPr>
  </w:style>
  <w:style w:type="paragraph" w:styleId="6">
    <w:name w:val="Balloon Text"/>
    <w:basedOn w:val="1"/>
    <w:link w:val="22"/>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5"/>
    <w:qFormat/>
    <w:uiPriority w:val="99"/>
    <w:pPr>
      <w:snapToGrid w:val="0"/>
      <w:jc w:val="left"/>
    </w:pPr>
    <w:rPr>
      <w:sz w:val="18"/>
      <w:szCs w:val="18"/>
    </w:rPr>
  </w:style>
  <w:style w:type="paragraph" w:styleId="10">
    <w:name w:val="annotation subject"/>
    <w:basedOn w:val="3"/>
    <w:next w:val="3"/>
    <w:link w:val="24"/>
    <w:qFormat/>
    <w:uiPriority w:val="99"/>
    <w:rPr>
      <w:b/>
      <w:bCs/>
    </w:rPr>
  </w:style>
  <w:style w:type="paragraph" w:styleId="11">
    <w:name w:val="Body Text First Indent 2"/>
    <w:basedOn w:val="4"/>
    <w:qFormat/>
    <w:uiPriority w:val="0"/>
    <w:pPr>
      <w:ind w:firstLine="420"/>
    </w:pPr>
    <w:rPr>
      <w:rFonts w:ascii="Calibri" w:hAnsi="Calibri" w:eastAsia="仿宋" w:cs="Times New Roman"/>
      <w:szCs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ndnote reference"/>
    <w:basedOn w:val="14"/>
    <w:qFormat/>
    <w:uiPriority w:val="99"/>
    <w:rPr>
      <w:vertAlign w:val="superscript"/>
    </w:rPr>
  </w:style>
  <w:style w:type="character" w:styleId="16">
    <w:name w:val="Hyperlink"/>
    <w:basedOn w:val="14"/>
    <w:qFormat/>
    <w:uiPriority w:val="99"/>
    <w:rPr>
      <w:color w:val="0000FF"/>
      <w:u w:val="single"/>
    </w:rPr>
  </w:style>
  <w:style w:type="character" w:styleId="17">
    <w:name w:val="annotation reference"/>
    <w:basedOn w:val="14"/>
    <w:qFormat/>
    <w:uiPriority w:val="99"/>
    <w:rPr>
      <w:sz w:val="21"/>
      <w:szCs w:val="21"/>
    </w:rPr>
  </w:style>
  <w:style w:type="character" w:styleId="18">
    <w:name w:val="footnote reference"/>
    <w:basedOn w:val="14"/>
    <w:qFormat/>
    <w:uiPriority w:val="99"/>
    <w:rPr>
      <w:vertAlign w:val="superscript"/>
    </w:rPr>
  </w:style>
  <w:style w:type="character" w:customStyle="1" w:styleId="19">
    <w:name w:val="页眉 字符"/>
    <w:basedOn w:val="14"/>
    <w:link w:val="8"/>
    <w:qFormat/>
    <w:uiPriority w:val="99"/>
    <w:rPr>
      <w:rFonts w:ascii="Calibri" w:hAnsi="Calibri" w:eastAsia="宋体" w:cs="Times New Roman"/>
      <w:sz w:val="18"/>
      <w:szCs w:val="18"/>
    </w:rPr>
  </w:style>
  <w:style w:type="character" w:customStyle="1" w:styleId="20">
    <w:name w:val="页脚 字符"/>
    <w:basedOn w:val="14"/>
    <w:link w:val="7"/>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批注框文本 字符"/>
    <w:basedOn w:val="14"/>
    <w:link w:val="6"/>
    <w:qFormat/>
    <w:uiPriority w:val="99"/>
    <w:rPr>
      <w:rFonts w:ascii="Calibri" w:hAnsi="Calibri" w:eastAsia="宋体" w:cs="Times New Roman"/>
      <w:kern w:val="2"/>
      <w:sz w:val="18"/>
      <w:szCs w:val="18"/>
    </w:rPr>
  </w:style>
  <w:style w:type="character" w:customStyle="1" w:styleId="23">
    <w:name w:val="批注文字 字符"/>
    <w:basedOn w:val="14"/>
    <w:link w:val="3"/>
    <w:qFormat/>
    <w:uiPriority w:val="99"/>
    <w:rPr>
      <w:rFonts w:ascii="Calibri" w:hAnsi="Calibri" w:eastAsia="宋体" w:cs="Times New Roman"/>
      <w:kern w:val="2"/>
      <w:sz w:val="21"/>
      <w:szCs w:val="24"/>
    </w:rPr>
  </w:style>
  <w:style w:type="character" w:customStyle="1" w:styleId="24">
    <w:name w:val="批注主题 字符"/>
    <w:basedOn w:val="23"/>
    <w:link w:val="10"/>
    <w:qFormat/>
    <w:uiPriority w:val="0"/>
    <w:rPr>
      <w:rFonts w:ascii="Calibri" w:hAnsi="Calibri" w:eastAsia="宋体" w:cs="Times New Roman"/>
      <w:kern w:val="2"/>
      <w:sz w:val="21"/>
      <w:szCs w:val="24"/>
    </w:rPr>
  </w:style>
  <w:style w:type="character" w:customStyle="1" w:styleId="25">
    <w:name w:val="脚注文本 字符"/>
    <w:basedOn w:val="14"/>
    <w:link w:val="9"/>
    <w:qFormat/>
    <w:uiPriority w:val="99"/>
    <w:rPr>
      <w:rFonts w:ascii="Calibri" w:hAnsi="Calibri" w:eastAsia="宋体" w:cs="Times New Roman"/>
      <w:kern w:val="2"/>
      <w:sz w:val="18"/>
      <w:szCs w:val="18"/>
    </w:rPr>
  </w:style>
  <w:style w:type="character" w:customStyle="1" w:styleId="26">
    <w:name w:val="尾注文本 字符"/>
    <w:basedOn w:val="14"/>
    <w:link w:val="5"/>
    <w:qFormat/>
    <w:uiPriority w:val="99"/>
    <w:rPr>
      <w:rFonts w:ascii="Calibri" w:hAnsi="Calibri" w:eastAsia="宋体" w:cs="Times New Roman"/>
      <w:kern w:val="2"/>
      <w:sz w:val="21"/>
      <w:szCs w:val="24"/>
    </w:rPr>
  </w:style>
  <w:style w:type="paragraph" w:customStyle="1" w:styleId="27">
    <w:name w:val="Table Text"/>
    <w:basedOn w:val="1"/>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3.xml><?xml version="1.0" encoding="utf-8"?>
<contractReview xmlns="http://schemas.wps.cn/vas-ai-hub/contract-review">
  <reviewItems>
    <reviewItem>
      <errorID>d2f3feda-10b4-47d9-bea8-e08ac5320eb1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28449BED</paraID>
      <start>17</start>
      <end>18</end>
      <status>ignored</status>
      <modifiedWord/>
      <trackRevisions>false</trackRevisions>
    </reviewItem>
    <reviewItem>
      <errorID>33314e29-0ee5-46f2-be65-6c9e7ed3066e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28449BED</paraID>
      <start>24</start>
      <end>25</end>
      <status>ignored</status>
      <modifiedWord/>
      <trackRevisions>false</trackRevisions>
    </reviewItem>
    <reviewItem>
      <errorID>f62a813b-2afd-4e93-ab10-6b4d31ee739d</errorID>
      <errorWord>兼</errorWord>
      <group>L1_Word</group>
      <groupName>字词问题</groupName>
      <ability>L2_Typo</ability>
      <abilityName>字词错误</abilityName>
      <candidateList>
        <item>兼任</item>
      </candidateList>
      <explain/>
      <paraID>7E58779B</paraID>
      <start>71</start>
      <end>73</end>
      <status>modified</status>
      <modifiedWord>兼任</modifiedWord>
      <trackRevisions>false</trackRevisions>
    </reviewItem>
    <reviewItem>
      <errorID>59e94337-cfad-4b05-95f4-27e6634d0843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46A25FD0</paraID>
      <start>28</start>
      <end>30</end>
      <status>modified</status>
      <modifiedWord>》《</modifiedWord>
      <trackRevisions>false</trackRevisions>
    </reviewItem>
    <reviewItem>
      <errorID>20daa7e0-c54f-4775-9b77-12c58f230edc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6898F2CB</paraID>
      <start>61</start>
      <end>62</end>
      <status>unmodified</status>
      <modifiedWord/>
      <trackRevisions>false</trackRevisions>
    </reviewItem>
    <reviewItem>
      <errorID>28a49108-3d1b-4010-a1c0-86f02b31ef03</errorID>
      <errorWord>二名</errorWord>
      <group>L1_Word</group>
      <groupName>字词问题</groupName>
      <ability>L2_Typo</ability>
      <abilityName>字词错误</abilityName>
      <candidateList>
        <item>两名</item>
      </candidateList>
      <explain/>
      <paraID>5E428EEB</paraID>
      <start>34</start>
      <end>36</end>
      <status>modified</status>
      <modifiedWord>两名</modifiedWord>
      <trackRevisions>false</trackRevisions>
    </reviewItem>
    <reviewItem>
      <errorID>811c24e9-e0d0-4fe4-9086-31f56b3b3d98</errorID>
      <errorWord>佩带</errorWord>
      <group>L1_Word</group>
      <groupName>字词问题</groupName>
      <ability>L2_Typo</ability>
      <abilityName>字词错误</abilityName>
      <candidateList>
        <item>佩戴</item>
      </candidateList>
      <explain>〈动〉（把徽章、符号等）挂在胸前、臂上、肩上等部位：～校徽｜～肩章。也作佩带。</explain>
      <paraID>388CAD3C</paraID>
      <start>25</start>
      <end>27</end>
      <status>modified</status>
      <modifiedWord>佩戴</modifiedWord>
      <trackRevisions>false</trackRevisions>
    </reviewItem>
    <reviewItem>
      <errorID>68d98aa8-4bc6-4015-a2e1-cf878597e126</errorID>
      <errorWord>佩带在</errorWord>
      <group>L1_Word</group>
      <groupName>字词问题</groupName>
      <ability>L2_Alias</ability>
      <abilityName>也作/曾用词</abilityName>
      <candidateList>
        <item>佩戴在</item>
      </candidateList>
      <explain>词汇[佩带在]为不规范表述或旧称，其规范书面表述为[佩戴在]。</explain>
      <paraID>388CAD3C</paraID>
      <start>64</start>
      <end>67</end>
      <status>modified</status>
      <modifiedWord>佩戴在</modifiedWord>
      <trackRevisions>false</trackRevisions>
    </reviewItem>
    <reviewItem>
      <errorID>940849fc-3e50-429a-97a2-e0dfed4fdd0a</errorID>
      <errorWord>”</errorWord>
      <group>L1_Punc</group>
      <groupName>标点问题</groupName>
      <ability>L2_Punc</ability>
      <abilityName>标点符号检查</abilityName>
      <candidateList>
        <item>“</item>
      </candidateList>
      <explain>注意检查双引号的方向是否正确。</explain>
      <paraID>519D8B5B</paraID>
      <start>97</start>
      <end>98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5654C5-9F47-415F-B547-D9502E78804C}">
  <ds:schemaRefs/>
</ds:datastoreItem>
</file>

<file path=customXml/itemProps3.xml><?xml version="1.0" encoding="utf-8"?>
<ds:datastoreItem xmlns:ds="http://schemas.openxmlformats.org/officeDocument/2006/customXml" ds:itemID="{73d1829f-e1f4-4b2c-ab52-bbc83cb3cde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3663</Words>
  <Characters>3830</Characters>
  <Lines>24</Lines>
  <Paragraphs>6</Paragraphs>
  <TotalTime>3</TotalTime>
  <ScaleCrop>false</ScaleCrop>
  <LinksUpToDate>false</LinksUpToDate>
  <CharactersWithSpaces>3830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2026-01-04T00:43:00Z</cp:lastPrinted>
  <dcterms:modified xsi:type="dcterms:W3CDTF">2026-05-12T01:41:17Z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9F8AC85192CF411DB7C6DEF162F2ADF0_13</vt:lpwstr>
  </property>
  <property fmtid="{D5CDD505-2E9C-101B-9397-08002B2CF9AE}" pid="4" name="KSOTemplateDocerSaveRecord">
    <vt:lpwstr>eyJoZGlkIjoiNjA2NmNjZDM3NzUzZGJhY2I3OTc1NzBkNDI5NDdhNTkiLCJ1c2VySWQiOiIxNDQ2MzUxODYzIn0=</vt:lpwstr>
  </property>
</Properties>
</file>