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77E89">
      <w:pPr>
        <w:adjustRightInd w:val="0"/>
        <w:snapToGrid w:val="0"/>
        <w:spacing w:line="540" w:lineRule="exact"/>
        <w:jc w:val="center"/>
        <w:rPr>
          <w:rFonts w:cs="宋体" w:asciiTheme="minorEastAsia" w:hAnsiTheme="minorEastAsia" w:eastAsiaTheme="minorEastAsia"/>
          <w:b/>
          <w:bCs/>
          <w:sz w:val="36"/>
          <w:szCs w:val="36"/>
        </w:rPr>
      </w:pPr>
      <w:r>
        <w:rPr>
          <w:rFonts w:hint="eastAsia" w:cs="宋体" w:asciiTheme="minorEastAsia" w:hAnsiTheme="minorEastAsia" w:eastAsiaTheme="minorEastAsia"/>
          <w:b/>
          <w:bCs/>
          <w:sz w:val="36"/>
          <w:szCs w:val="36"/>
        </w:rPr>
        <w:t>上海市第十八届运动会象棋比赛（青少年组）</w:t>
      </w:r>
    </w:p>
    <w:p w14:paraId="410D14AA">
      <w:pPr>
        <w:adjustRightInd w:val="0"/>
        <w:snapToGrid w:val="0"/>
        <w:spacing w:line="540" w:lineRule="exact"/>
        <w:jc w:val="center"/>
        <w:rPr>
          <w:rFonts w:hint="eastAsia" w:cs="宋体" w:asciiTheme="minorEastAsia" w:hAnsiTheme="minorEastAsia" w:eastAsiaTheme="minorEastAsia"/>
          <w:b/>
          <w:bCs/>
          <w:sz w:val="36"/>
          <w:szCs w:val="36"/>
        </w:rPr>
      </w:pPr>
      <w:r>
        <w:rPr>
          <w:rFonts w:hint="eastAsia" w:cs="宋体" w:asciiTheme="minorEastAsia" w:hAnsiTheme="minorEastAsia" w:eastAsiaTheme="minorEastAsia"/>
          <w:b/>
          <w:bCs/>
          <w:sz w:val="36"/>
          <w:szCs w:val="36"/>
        </w:rPr>
        <w:t>竞赛规程</w:t>
      </w:r>
    </w:p>
    <w:p w14:paraId="546F46D2">
      <w:pPr>
        <w:adjustRightInd w:val="0"/>
        <w:snapToGrid w:val="0"/>
        <w:spacing w:line="540" w:lineRule="exact"/>
        <w:ind w:firstLine="562" w:firstLineChars="200"/>
        <w:rPr>
          <w:rFonts w:ascii="仿宋" w:hAnsi="仿宋" w:eastAsia="仿宋" w:cs="仿宋_GB2312"/>
          <w:sz w:val="28"/>
          <w:szCs w:val="28"/>
        </w:rPr>
      </w:pPr>
      <w:r>
        <w:rPr>
          <w:rFonts w:hint="eastAsia" w:ascii="仿宋" w:hAnsi="仿宋" w:eastAsia="仿宋" w:cs="仿宋_GB2312"/>
          <w:b/>
          <w:sz w:val="28"/>
          <w:szCs w:val="28"/>
        </w:rPr>
        <w:t>一、主办单位：</w:t>
      </w:r>
      <w:r>
        <w:rPr>
          <w:rFonts w:hint="eastAsia" w:ascii="仿宋" w:hAnsi="仿宋" w:eastAsia="仿宋" w:cs="仿宋_GB2312"/>
          <w:sz w:val="28"/>
          <w:szCs w:val="28"/>
        </w:rPr>
        <w:t>上海市体育局、上海市教育委员会</w:t>
      </w:r>
    </w:p>
    <w:p w14:paraId="36299CA0">
      <w:pPr>
        <w:adjustRightInd w:val="0"/>
        <w:snapToGrid w:val="0"/>
        <w:spacing w:line="540" w:lineRule="exact"/>
        <w:ind w:firstLine="562" w:firstLineChars="200"/>
        <w:rPr>
          <w:rFonts w:ascii="仿宋" w:hAnsi="仿宋" w:eastAsia="仿宋" w:cs="仿宋_GB2312"/>
          <w:bCs/>
          <w:sz w:val="28"/>
          <w:szCs w:val="28"/>
        </w:rPr>
      </w:pPr>
      <w:r>
        <w:rPr>
          <w:rFonts w:hint="eastAsia" w:ascii="仿宋" w:hAnsi="仿宋" w:eastAsia="仿宋" w:cs="仿宋_GB2312"/>
          <w:b/>
          <w:sz w:val="28"/>
          <w:szCs w:val="28"/>
        </w:rPr>
        <w:t>二、承办单位：</w:t>
      </w:r>
      <w:r>
        <w:rPr>
          <w:rFonts w:hint="eastAsia" w:ascii="仿宋" w:hAnsi="仿宋" w:eastAsia="仿宋" w:cs="仿宋_GB2312"/>
          <w:bCs/>
          <w:sz w:val="28"/>
          <w:szCs w:val="28"/>
        </w:rPr>
        <w:t>上海市徐汇区体育局</w:t>
      </w:r>
    </w:p>
    <w:p w14:paraId="4DA4472D">
      <w:pPr>
        <w:adjustRightInd w:val="0"/>
        <w:snapToGrid w:val="0"/>
        <w:spacing w:line="540" w:lineRule="exact"/>
        <w:ind w:firstLine="2520" w:firstLineChars="900"/>
        <w:rPr>
          <w:rFonts w:ascii="仿宋" w:hAnsi="仿宋" w:eastAsia="仿宋" w:cs="仿宋_GB2312"/>
          <w:bCs/>
          <w:sz w:val="28"/>
          <w:szCs w:val="28"/>
        </w:rPr>
      </w:pPr>
      <w:r>
        <w:rPr>
          <w:rFonts w:hint="eastAsia" w:ascii="仿宋" w:hAnsi="仿宋" w:eastAsia="仿宋" w:cs="仿宋_GB2312"/>
          <w:bCs/>
          <w:sz w:val="28"/>
          <w:szCs w:val="28"/>
        </w:rPr>
        <w:t xml:space="preserve">上海棋院（上海市棋牌运动管理中心） </w:t>
      </w:r>
    </w:p>
    <w:p w14:paraId="5F7A5C7A">
      <w:pPr>
        <w:adjustRightInd w:val="0"/>
        <w:snapToGrid w:val="0"/>
        <w:spacing w:line="540" w:lineRule="exact"/>
        <w:ind w:firstLine="2520" w:firstLineChars="900"/>
        <w:rPr>
          <w:rFonts w:ascii="仿宋" w:hAnsi="仿宋" w:eastAsia="仿宋" w:cs="仿宋_GB2312"/>
          <w:bCs/>
          <w:sz w:val="28"/>
          <w:szCs w:val="28"/>
        </w:rPr>
      </w:pPr>
      <w:r>
        <w:rPr>
          <w:rFonts w:hint="eastAsia" w:ascii="仿宋" w:hAnsi="仿宋" w:eastAsia="仿宋" w:cs="仿宋_GB2312"/>
          <w:bCs/>
          <w:sz w:val="28"/>
          <w:szCs w:val="28"/>
        </w:rPr>
        <w:t>上海市象棋协会</w:t>
      </w:r>
    </w:p>
    <w:p w14:paraId="34CB5092">
      <w:pPr>
        <w:adjustRightInd w:val="0"/>
        <w:snapToGrid w:val="0"/>
        <w:spacing w:line="540" w:lineRule="exact"/>
        <w:ind w:left="2519" w:leftChars="266" w:hanging="1960" w:hangingChars="700"/>
        <w:rPr>
          <w:rFonts w:ascii="仿宋" w:hAnsi="仿宋" w:eastAsia="仿宋" w:cs="仿宋_GB2312"/>
          <w:bCs/>
          <w:sz w:val="28"/>
          <w:szCs w:val="28"/>
        </w:rPr>
      </w:pPr>
      <w:r>
        <w:rPr>
          <w:rFonts w:hint="eastAsia" w:ascii="仿宋" w:hAnsi="仿宋" w:eastAsia="仿宋" w:cs="仿宋_GB2312"/>
          <w:bCs/>
          <w:sz w:val="28"/>
          <w:szCs w:val="28"/>
        </w:rPr>
        <w:t xml:space="preserve">              上海市徐汇区青少年体育训练中心（上海市徐汇区青少年体育运动学校）</w:t>
      </w:r>
    </w:p>
    <w:p w14:paraId="309AFCFD">
      <w:pPr>
        <w:adjustRightInd w:val="0"/>
        <w:snapToGrid w:val="0"/>
        <w:spacing w:line="540" w:lineRule="exact"/>
        <w:ind w:firstLine="562" w:firstLineChars="200"/>
        <w:rPr>
          <w:rFonts w:ascii="仿宋" w:hAnsi="仿宋" w:eastAsia="仿宋" w:cs="仿宋_GB2312"/>
          <w:sz w:val="28"/>
          <w:szCs w:val="28"/>
        </w:rPr>
      </w:pPr>
      <w:r>
        <w:rPr>
          <w:rFonts w:hint="eastAsia" w:ascii="仿宋" w:hAnsi="仿宋" w:eastAsia="仿宋" w:cs="仿宋_GB2312"/>
          <w:b/>
          <w:sz w:val="28"/>
          <w:szCs w:val="28"/>
        </w:rPr>
        <w:t>三、协办单位：</w:t>
      </w:r>
      <w:r>
        <w:rPr>
          <w:rFonts w:hint="eastAsia" w:ascii="仿宋" w:hAnsi="仿宋" w:eastAsia="仿宋" w:cs="仿宋_GB2312"/>
          <w:bCs/>
          <w:sz w:val="28"/>
          <w:szCs w:val="28"/>
        </w:rPr>
        <w:t>待定</w:t>
      </w:r>
    </w:p>
    <w:p w14:paraId="3FAF0D93">
      <w:pPr>
        <w:adjustRightInd w:val="0"/>
        <w:snapToGrid w:val="0"/>
        <w:spacing w:line="540" w:lineRule="exact"/>
        <w:ind w:firstLine="562" w:firstLineChars="200"/>
        <w:rPr>
          <w:rFonts w:ascii="仿宋" w:hAnsi="仿宋" w:eastAsia="仿宋" w:cs="仿宋_GB2312"/>
          <w:sz w:val="28"/>
          <w:szCs w:val="28"/>
        </w:rPr>
      </w:pPr>
      <w:r>
        <w:rPr>
          <w:rFonts w:hint="eastAsia" w:ascii="仿宋" w:hAnsi="仿宋" w:eastAsia="仿宋" w:cs="仿宋_GB2312"/>
          <w:b/>
          <w:sz w:val="28"/>
          <w:szCs w:val="28"/>
        </w:rPr>
        <w:t>四、竞赛日期：</w:t>
      </w:r>
      <w:r>
        <w:rPr>
          <w:rFonts w:hint="eastAsia" w:ascii="仿宋" w:hAnsi="仿宋" w:eastAsia="仿宋" w:cs="仿宋_GB2312"/>
          <w:bCs/>
          <w:sz w:val="28"/>
          <w:szCs w:val="28"/>
        </w:rPr>
        <w:t>待定</w:t>
      </w:r>
    </w:p>
    <w:p w14:paraId="6FF45843">
      <w:pPr>
        <w:adjustRightInd w:val="0"/>
        <w:snapToGrid w:val="0"/>
        <w:spacing w:line="540" w:lineRule="exact"/>
        <w:ind w:firstLine="562" w:firstLineChars="200"/>
        <w:rPr>
          <w:rFonts w:ascii="仿宋" w:hAnsi="仿宋" w:eastAsia="仿宋" w:cs="仿宋_GB2312"/>
          <w:sz w:val="28"/>
          <w:szCs w:val="28"/>
        </w:rPr>
      </w:pPr>
      <w:r>
        <w:rPr>
          <w:rFonts w:hint="eastAsia" w:ascii="仿宋" w:hAnsi="仿宋" w:eastAsia="仿宋" w:cs="仿宋_GB2312"/>
          <w:b/>
          <w:sz w:val="28"/>
          <w:szCs w:val="28"/>
        </w:rPr>
        <w:t>五、竞赛地点：</w:t>
      </w:r>
      <w:r>
        <w:rPr>
          <w:rFonts w:hint="eastAsia" w:ascii="仿宋" w:hAnsi="仿宋" w:eastAsia="仿宋" w:cs="仿宋_GB2312"/>
          <w:bCs/>
          <w:sz w:val="28"/>
          <w:szCs w:val="28"/>
        </w:rPr>
        <w:t>待定</w:t>
      </w:r>
    </w:p>
    <w:p w14:paraId="10A0469A">
      <w:pPr>
        <w:adjustRightInd w:val="0"/>
        <w:snapToGrid w:val="0"/>
        <w:spacing w:line="540" w:lineRule="exact"/>
        <w:ind w:firstLine="562" w:firstLineChars="200"/>
        <w:rPr>
          <w:rFonts w:ascii="仿宋" w:hAnsi="仿宋" w:eastAsia="仿宋" w:cs="仿宋_GB2312"/>
          <w:sz w:val="28"/>
          <w:szCs w:val="28"/>
        </w:rPr>
      </w:pPr>
      <w:r>
        <w:rPr>
          <w:rFonts w:hint="eastAsia" w:ascii="仿宋" w:hAnsi="仿宋" w:eastAsia="仿宋" w:cs="仿宋_GB2312"/>
          <w:b/>
          <w:bCs/>
          <w:sz w:val="28"/>
          <w:szCs w:val="28"/>
        </w:rPr>
        <w:t>六、参赛单位</w:t>
      </w:r>
      <w:r>
        <w:rPr>
          <w:rFonts w:hint="eastAsia" w:ascii="仿宋" w:hAnsi="仿宋" w:eastAsia="仿宋" w:cs="仿宋_GB2312"/>
          <w:sz w:val="28"/>
          <w:szCs w:val="28"/>
        </w:rPr>
        <w:t>：本市各区</w:t>
      </w:r>
    </w:p>
    <w:p w14:paraId="104C579A">
      <w:pPr>
        <w:adjustRightInd w:val="0"/>
        <w:snapToGrid w:val="0"/>
        <w:spacing w:line="540" w:lineRule="exact"/>
        <w:ind w:firstLine="562" w:firstLineChars="200"/>
        <w:rPr>
          <w:rFonts w:ascii="仿宋" w:hAnsi="仿宋" w:eastAsia="仿宋" w:cs="仿宋_GB2312"/>
          <w:b/>
          <w:sz w:val="28"/>
          <w:szCs w:val="28"/>
        </w:rPr>
      </w:pPr>
      <w:r>
        <w:rPr>
          <w:rFonts w:hint="eastAsia" w:ascii="仿宋" w:hAnsi="仿宋" w:eastAsia="仿宋" w:cs="仿宋_GB2312"/>
          <w:b/>
          <w:sz w:val="28"/>
          <w:szCs w:val="28"/>
        </w:rPr>
        <w:t>七、年龄组别和小项设置</w:t>
      </w:r>
    </w:p>
    <w:tbl>
      <w:tblPr>
        <w:tblStyle w:val="7"/>
        <w:tblW w:w="7625" w:type="dxa"/>
        <w:jc w:val="center"/>
        <w:tblLayout w:type="autofit"/>
        <w:tblCellMar>
          <w:top w:w="0" w:type="dxa"/>
          <w:left w:w="108" w:type="dxa"/>
          <w:bottom w:w="0" w:type="dxa"/>
          <w:right w:w="108" w:type="dxa"/>
        </w:tblCellMar>
      </w:tblPr>
      <w:tblGrid>
        <w:gridCol w:w="1212"/>
        <w:gridCol w:w="2280"/>
        <w:gridCol w:w="1068"/>
        <w:gridCol w:w="1572"/>
        <w:gridCol w:w="1493"/>
      </w:tblGrid>
      <w:tr w14:paraId="31070CD0">
        <w:tblPrEx>
          <w:tblCellMar>
            <w:top w:w="0" w:type="dxa"/>
            <w:left w:w="108" w:type="dxa"/>
            <w:bottom w:w="0" w:type="dxa"/>
            <w:right w:w="108" w:type="dxa"/>
          </w:tblCellMar>
        </w:tblPrEx>
        <w:trPr>
          <w:trHeight w:val="478" w:hRule="atLeast"/>
          <w:tblHeader/>
          <w:jc w:val="center"/>
        </w:trPr>
        <w:tc>
          <w:tcPr>
            <w:tcW w:w="1212" w:type="dxa"/>
            <w:tcBorders>
              <w:top w:val="single" w:color="auto" w:sz="4" w:space="0"/>
              <w:left w:val="single" w:color="auto" w:sz="4" w:space="0"/>
              <w:bottom w:val="single" w:color="auto" w:sz="4" w:space="0"/>
              <w:right w:val="single" w:color="auto" w:sz="4" w:space="0"/>
            </w:tcBorders>
            <w:vAlign w:val="center"/>
          </w:tcPr>
          <w:p w14:paraId="78DF9F26">
            <w:pPr>
              <w:widowControl/>
              <w:snapToGrid w:val="0"/>
              <w:spacing w:line="240" w:lineRule="auto"/>
              <w:ind w:left="0" w:leftChars="0" w:right="0" w:rightChars="0" w:firstLine="0" w:firstLineChars="0"/>
              <w:jc w:val="center"/>
              <w:rPr>
                <w:rFonts w:ascii="仿宋" w:hAnsi="仿宋" w:eastAsia="仿宋" w:cs="仿宋_GB2312"/>
                <w:b/>
                <w:bCs/>
                <w:szCs w:val="21"/>
              </w:rPr>
            </w:pPr>
            <w:r>
              <w:rPr>
                <w:rFonts w:hint="eastAsia" w:ascii="仿宋" w:hAnsi="仿宋" w:eastAsia="仿宋" w:cs="仿宋_GB2312"/>
                <w:b/>
                <w:bCs/>
                <w:szCs w:val="21"/>
              </w:rPr>
              <w:t>组别</w:t>
            </w:r>
          </w:p>
        </w:tc>
        <w:tc>
          <w:tcPr>
            <w:tcW w:w="2280" w:type="dxa"/>
            <w:tcBorders>
              <w:top w:val="single" w:color="auto" w:sz="4" w:space="0"/>
              <w:left w:val="single" w:color="auto" w:sz="4" w:space="0"/>
              <w:bottom w:val="single" w:color="auto" w:sz="4" w:space="0"/>
              <w:right w:val="single" w:color="auto" w:sz="4" w:space="0"/>
            </w:tcBorders>
            <w:vAlign w:val="center"/>
          </w:tcPr>
          <w:p w14:paraId="06D6BB73">
            <w:pPr>
              <w:widowControl/>
              <w:snapToGrid w:val="0"/>
              <w:spacing w:line="240" w:lineRule="auto"/>
              <w:ind w:left="0" w:leftChars="0" w:right="0" w:rightChars="0" w:firstLine="0" w:firstLineChars="0"/>
              <w:jc w:val="center"/>
              <w:rPr>
                <w:rFonts w:ascii="仿宋" w:hAnsi="仿宋" w:eastAsia="仿宋" w:cs="仿宋_GB2312"/>
                <w:b/>
                <w:bCs/>
                <w:szCs w:val="21"/>
              </w:rPr>
            </w:pPr>
            <w:r>
              <w:rPr>
                <w:rFonts w:hint="eastAsia" w:ascii="仿宋" w:hAnsi="仿宋" w:eastAsia="仿宋" w:cs="仿宋_GB2312"/>
                <w:b/>
                <w:bCs/>
                <w:szCs w:val="21"/>
              </w:rPr>
              <w:t>年龄段</w:t>
            </w:r>
          </w:p>
        </w:tc>
        <w:tc>
          <w:tcPr>
            <w:tcW w:w="1068" w:type="dxa"/>
            <w:tcBorders>
              <w:top w:val="single" w:color="auto" w:sz="4" w:space="0"/>
              <w:left w:val="nil"/>
              <w:bottom w:val="single" w:color="auto" w:sz="4" w:space="0"/>
              <w:right w:val="single" w:color="auto" w:sz="4" w:space="0"/>
            </w:tcBorders>
            <w:vAlign w:val="center"/>
          </w:tcPr>
          <w:p w14:paraId="0096AB29">
            <w:pPr>
              <w:widowControl/>
              <w:snapToGrid w:val="0"/>
              <w:spacing w:line="240" w:lineRule="auto"/>
              <w:ind w:left="0" w:leftChars="0" w:right="0" w:rightChars="0" w:firstLine="0" w:firstLineChars="0"/>
              <w:jc w:val="center"/>
              <w:rPr>
                <w:rFonts w:ascii="仿宋" w:hAnsi="仿宋" w:eastAsia="仿宋" w:cs="仿宋_GB2312"/>
                <w:b/>
                <w:bCs/>
                <w:szCs w:val="21"/>
              </w:rPr>
            </w:pPr>
            <w:r>
              <w:rPr>
                <w:rFonts w:hint="eastAsia" w:ascii="仿宋" w:hAnsi="仿宋" w:eastAsia="仿宋" w:cs="仿宋"/>
                <w:b/>
                <w:bCs/>
                <w:szCs w:val="21"/>
              </w:rPr>
              <w:t>设项数</w:t>
            </w:r>
          </w:p>
        </w:tc>
        <w:tc>
          <w:tcPr>
            <w:tcW w:w="1572" w:type="dxa"/>
            <w:tcBorders>
              <w:top w:val="single" w:color="auto" w:sz="4" w:space="0"/>
              <w:left w:val="nil"/>
              <w:bottom w:val="single" w:color="auto" w:sz="4" w:space="0"/>
              <w:right w:val="single" w:color="auto" w:sz="4" w:space="0"/>
            </w:tcBorders>
            <w:vAlign w:val="center"/>
          </w:tcPr>
          <w:p w14:paraId="58ACE8E7">
            <w:pPr>
              <w:widowControl/>
              <w:snapToGrid w:val="0"/>
              <w:spacing w:line="240" w:lineRule="auto"/>
              <w:ind w:left="0" w:leftChars="0" w:right="0" w:rightChars="0" w:firstLine="0" w:firstLineChars="0"/>
              <w:jc w:val="center"/>
              <w:rPr>
                <w:rFonts w:ascii="仿宋" w:hAnsi="仿宋" w:eastAsia="仿宋" w:cs="仿宋_GB2312"/>
                <w:b/>
                <w:bCs/>
                <w:szCs w:val="21"/>
              </w:rPr>
            </w:pPr>
            <w:r>
              <w:rPr>
                <w:rFonts w:hint="eastAsia" w:ascii="仿宋" w:hAnsi="仿宋" w:eastAsia="仿宋" w:cs="仿宋_GB2312"/>
                <w:b/>
                <w:bCs/>
                <w:szCs w:val="21"/>
              </w:rPr>
              <w:t>男子</w:t>
            </w:r>
          </w:p>
        </w:tc>
        <w:tc>
          <w:tcPr>
            <w:tcW w:w="1493" w:type="dxa"/>
            <w:tcBorders>
              <w:top w:val="single" w:color="auto" w:sz="4" w:space="0"/>
              <w:left w:val="nil"/>
              <w:bottom w:val="single" w:color="auto" w:sz="4" w:space="0"/>
              <w:right w:val="single" w:color="auto" w:sz="4" w:space="0"/>
            </w:tcBorders>
            <w:vAlign w:val="center"/>
          </w:tcPr>
          <w:p w14:paraId="3066985A">
            <w:pPr>
              <w:widowControl/>
              <w:snapToGrid w:val="0"/>
              <w:spacing w:line="240" w:lineRule="auto"/>
              <w:ind w:left="0" w:leftChars="0" w:right="0" w:rightChars="0" w:firstLine="0" w:firstLineChars="0"/>
              <w:jc w:val="center"/>
              <w:rPr>
                <w:rFonts w:ascii="仿宋" w:hAnsi="仿宋" w:eastAsia="仿宋" w:cs="仿宋_GB2312"/>
                <w:b/>
                <w:bCs/>
                <w:szCs w:val="21"/>
              </w:rPr>
            </w:pPr>
            <w:r>
              <w:rPr>
                <w:rFonts w:hint="eastAsia" w:ascii="仿宋" w:hAnsi="仿宋" w:eastAsia="仿宋" w:cs="仿宋_GB2312"/>
                <w:b/>
                <w:bCs/>
                <w:szCs w:val="21"/>
              </w:rPr>
              <w:t>女子</w:t>
            </w:r>
          </w:p>
        </w:tc>
      </w:tr>
      <w:tr w14:paraId="6BBDA75A">
        <w:tblPrEx>
          <w:tblCellMar>
            <w:top w:w="0" w:type="dxa"/>
            <w:left w:w="108" w:type="dxa"/>
            <w:bottom w:w="0" w:type="dxa"/>
            <w:right w:w="108" w:type="dxa"/>
          </w:tblCellMar>
        </w:tblPrEx>
        <w:trPr>
          <w:trHeight w:val="540"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15AB7325">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A</w:t>
            </w:r>
          </w:p>
        </w:tc>
        <w:tc>
          <w:tcPr>
            <w:tcW w:w="2280" w:type="dxa"/>
            <w:tcBorders>
              <w:top w:val="single" w:color="auto" w:sz="4" w:space="0"/>
              <w:left w:val="single" w:color="auto" w:sz="4" w:space="0"/>
              <w:bottom w:val="single" w:color="auto" w:sz="4" w:space="0"/>
              <w:right w:val="single" w:color="auto" w:sz="4" w:space="0"/>
            </w:tcBorders>
            <w:vAlign w:val="center"/>
          </w:tcPr>
          <w:p w14:paraId="5CE31E27">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08.9.1-11.12.31</w:t>
            </w:r>
          </w:p>
        </w:tc>
        <w:tc>
          <w:tcPr>
            <w:tcW w:w="1068" w:type="dxa"/>
            <w:tcBorders>
              <w:top w:val="single" w:color="auto" w:sz="4" w:space="0"/>
              <w:left w:val="nil"/>
              <w:bottom w:val="single" w:color="auto" w:sz="4" w:space="0"/>
              <w:right w:val="single" w:color="auto" w:sz="4" w:space="0"/>
            </w:tcBorders>
            <w:vAlign w:val="center"/>
          </w:tcPr>
          <w:p w14:paraId="2D4B2EE6">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1</w:t>
            </w:r>
          </w:p>
        </w:tc>
        <w:tc>
          <w:tcPr>
            <w:tcW w:w="3065" w:type="dxa"/>
            <w:gridSpan w:val="2"/>
            <w:tcBorders>
              <w:top w:val="single" w:color="auto" w:sz="4" w:space="0"/>
              <w:left w:val="nil"/>
              <w:bottom w:val="single" w:color="auto" w:sz="4" w:space="0"/>
              <w:right w:val="single" w:color="auto" w:sz="4" w:space="0"/>
            </w:tcBorders>
            <w:vAlign w:val="center"/>
          </w:tcPr>
          <w:p w14:paraId="035A540A">
            <w:pPr>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混合团体</w:t>
            </w:r>
          </w:p>
        </w:tc>
      </w:tr>
      <w:tr w14:paraId="40241EA4">
        <w:tblPrEx>
          <w:tblCellMar>
            <w:top w:w="0" w:type="dxa"/>
            <w:left w:w="108" w:type="dxa"/>
            <w:bottom w:w="0" w:type="dxa"/>
            <w:right w:w="108" w:type="dxa"/>
          </w:tblCellMar>
        </w:tblPrEx>
        <w:trPr>
          <w:trHeight w:val="536" w:hRule="atLeast"/>
          <w:jc w:val="center"/>
        </w:trPr>
        <w:tc>
          <w:tcPr>
            <w:tcW w:w="1212" w:type="dxa"/>
            <w:tcBorders>
              <w:top w:val="single" w:color="auto" w:sz="4" w:space="0"/>
              <w:left w:val="single" w:color="auto" w:sz="4" w:space="0"/>
              <w:right w:val="single" w:color="auto" w:sz="4" w:space="0"/>
            </w:tcBorders>
            <w:vAlign w:val="center"/>
          </w:tcPr>
          <w:p w14:paraId="079C97F9">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B</w:t>
            </w:r>
          </w:p>
        </w:tc>
        <w:tc>
          <w:tcPr>
            <w:tcW w:w="2280" w:type="dxa"/>
            <w:tcBorders>
              <w:top w:val="single" w:color="auto" w:sz="4" w:space="0"/>
              <w:left w:val="single" w:color="auto" w:sz="4" w:space="0"/>
              <w:right w:val="single" w:color="auto" w:sz="4" w:space="0"/>
            </w:tcBorders>
            <w:vAlign w:val="center"/>
          </w:tcPr>
          <w:p w14:paraId="1391BFFF">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12.1.1-13.12.31</w:t>
            </w:r>
          </w:p>
        </w:tc>
        <w:tc>
          <w:tcPr>
            <w:tcW w:w="1068" w:type="dxa"/>
            <w:tcBorders>
              <w:top w:val="single" w:color="auto" w:sz="4" w:space="0"/>
              <w:left w:val="nil"/>
              <w:right w:val="single" w:color="auto" w:sz="4" w:space="0"/>
            </w:tcBorders>
            <w:vAlign w:val="center"/>
          </w:tcPr>
          <w:p w14:paraId="1CDC31CC">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4</w:t>
            </w:r>
          </w:p>
        </w:tc>
        <w:tc>
          <w:tcPr>
            <w:tcW w:w="1572" w:type="dxa"/>
            <w:tcBorders>
              <w:top w:val="single" w:color="auto" w:sz="4" w:space="0"/>
              <w:left w:val="nil"/>
              <w:bottom w:val="single" w:color="auto" w:sz="4" w:space="0"/>
              <w:right w:val="single" w:color="auto" w:sz="4" w:space="0"/>
            </w:tcBorders>
            <w:vAlign w:val="center"/>
          </w:tcPr>
          <w:p w14:paraId="7BC52027">
            <w:pPr>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个人、团体</w:t>
            </w:r>
          </w:p>
        </w:tc>
        <w:tc>
          <w:tcPr>
            <w:tcW w:w="1493" w:type="dxa"/>
            <w:tcBorders>
              <w:top w:val="single" w:color="auto" w:sz="4" w:space="0"/>
              <w:left w:val="nil"/>
              <w:bottom w:val="single" w:color="auto" w:sz="4" w:space="0"/>
              <w:right w:val="single" w:color="auto" w:sz="4" w:space="0"/>
            </w:tcBorders>
            <w:vAlign w:val="center"/>
          </w:tcPr>
          <w:p w14:paraId="14140B39">
            <w:pPr>
              <w:snapToGrid w:val="0"/>
              <w:spacing w:line="240" w:lineRule="auto"/>
              <w:ind w:left="0" w:leftChars="0" w:right="0" w:rightChars="0" w:firstLine="0" w:firstLineChars="0"/>
              <w:jc w:val="left"/>
              <w:rPr>
                <w:rFonts w:ascii="仿宋" w:hAnsi="仿宋" w:eastAsia="仿宋" w:cs="仿宋_GB2312"/>
                <w:szCs w:val="21"/>
              </w:rPr>
            </w:pPr>
            <w:r>
              <w:rPr>
                <w:rFonts w:hint="eastAsia" w:ascii="仿宋" w:hAnsi="仿宋" w:eastAsia="仿宋" w:cs="仿宋_GB2312"/>
                <w:szCs w:val="21"/>
              </w:rPr>
              <w:t>个人、团体</w:t>
            </w:r>
          </w:p>
        </w:tc>
      </w:tr>
      <w:tr w14:paraId="668F73F4">
        <w:tblPrEx>
          <w:tblCellMar>
            <w:top w:w="0" w:type="dxa"/>
            <w:left w:w="108" w:type="dxa"/>
            <w:bottom w:w="0" w:type="dxa"/>
            <w:right w:w="108" w:type="dxa"/>
          </w:tblCellMar>
        </w:tblPrEx>
        <w:trPr>
          <w:trHeight w:val="516"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4119E30A">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C</w:t>
            </w:r>
          </w:p>
        </w:tc>
        <w:tc>
          <w:tcPr>
            <w:tcW w:w="2280" w:type="dxa"/>
            <w:tcBorders>
              <w:top w:val="single" w:color="auto" w:sz="4" w:space="0"/>
              <w:left w:val="single" w:color="auto" w:sz="4" w:space="0"/>
              <w:bottom w:val="single" w:color="auto" w:sz="4" w:space="0"/>
              <w:right w:val="single" w:color="auto" w:sz="4" w:space="0"/>
            </w:tcBorders>
            <w:vAlign w:val="center"/>
          </w:tcPr>
          <w:p w14:paraId="086D4E18">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14.1.1-15.12.31</w:t>
            </w:r>
          </w:p>
        </w:tc>
        <w:tc>
          <w:tcPr>
            <w:tcW w:w="1068" w:type="dxa"/>
            <w:tcBorders>
              <w:top w:val="single" w:color="auto" w:sz="4" w:space="0"/>
              <w:left w:val="nil"/>
              <w:bottom w:val="single" w:color="auto" w:sz="4" w:space="0"/>
              <w:right w:val="single" w:color="auto" w:sz="4" w:space="0"/>
            </w:tcBorders>
            <w:vAlign w:val="center"/>
          </w:tcPr>
          <w:p w14:paraId="539A1B58">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1</w:t>
            </w:r>
          </w:p>
        </w:tc>
        <w:tc>
          <w:tcPr>
            <w:tcW w:w="3065" w:type="dxa"/>
            <w:gridSpan w:val="2"/>
            <w:tcBorders>
              <w:top w:val="single" w:color="auto" w:sz="4" w:space="0"/>
              <w:left w:val="nil"/>
              <w:bottom w:val="single" w:color="auto" w:sz="4" w:space="0"/>
              <w:right w:val="single" w:color="auto" w:sz="4" w:space="0"/>
            </w:tcBorders>
            <w:vAlign w:val="center"/>
          </w:tcPr>
          <w:p w14:paraId="535C5301">
            <w:pPr>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混合团体</w:t>
            </w:r>
          </w:p>
        </w:tc>
      </w:tr>
      <w:tr w14:paraId="68B118F3">
        <w:tblPrEx>
          <w:tblCellMar>
            <w:top w:w="0" w:type="dxa"/>
            <w:left w:w="108" w:type="dxa"/>
            <w:bottom w:w="0" w:type="dxa"/>
            <w:right w:w="108" w:type="dxa"/>
          </w:tblCellMar>
        </w:tblPrEx>
        <w:trPr>
          <w:trHeight w:val="584"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0EB5B6EB">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D</w:t>
            </w:r>
          </w:p>
        </w:tc>
        <w:tc>
          <w:tcPr>
            <w:tcW w:w="2280" w:type="dxa"/>
            <w:tcBorders>
              <w:top w:val="single" w:color="auto" w:sz="4" w:space="0"/>
              <w:left w:val="single" w:color="auto" w:sz="4" w:space="0"/>
              <w:bottom w:val="single" w:color="auto" w:sz="4" w:space="0"/>
              <w:right w:val="single" w:color="auto" w:sz="4" w:space="0"/>
            </w:tcBorders>
            <w:vAlign w:val="center"/>
          </w:tcPr>
          <w:p w14:paraId="24207D21">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16.1.1-19.12.31</w:t>
            </w:r>
          </w:p>
        </w:tc>
        <w:tc>
          <w:tcPr>
            <w:tcW w:w="1068" w:type="dxa"/>
            <w:tcBorders>
              <w:top w:val="single" w:color="auto" w:sz="4" w:space="0"/>
              <w:left w:val="nil"/>
              <w:bottom w:val="single" w:color="auto" w:sz="4" w:space="0"/>
              <w:right w:val="single" w:color="auto" w:sz="4" w:space="0"/>
            </w:tcBorders>
            <w:vAlign w:val="center"/>
          </w:tcPr>
          <w:p w14:paraId="6980935E">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2</w:t>
            </w:r>
          </w:p>
        </w:tc>
        <w:tc>
          <w:tcPr>
            <w:tcW w:w="1572" w:type="dxa"/>
            <w:tcBorders>
              <w:top w:val="single" w:color="auto" w:sz="4" w:space="0"/>
              <w:left w:val="nil"/>
              <w:bottom w:val="single" w:color="auto" w:sz="4" w:space="0"/>
              <w:right w:val="single" w:color="auto" w:sz="4" w:space="0"/>
            </w:tcBorders>
            <w:vAlign w:val="center"/>
          </w:tcPr>
          <w:p w14:paraId="5FDE0742">
            <w:pPr>
              <w:widowControl/>
              <w:snapToGrid w:val="0"/>
              <w:spacing w:line="240" w:lineRule="auto"/>
              <w:ind w:left="0" w:leftChars="0" w:right="0" w:rightChars="0" w:firstLine="0" w:firstLineChars="0"/>
              <w:jc w:val="center"/>
              <w:rPr>
                <w:rFonts w:ascii="仿宋" w:hAnsi="仿宋" w:eastAsia="仿宋" w:cs="仿宋_GB2312"/>
                <w:szCs w:val="21"/>
              </w:rPr>
            </w:pPr>
            <w:r>
              <w:rPr>
                <w:rFonts w:hint="eastAsia" w:ascii="仿宋" w:hAnsi="仿宋" w:eastAsia="仿宋" w:cs="仿宋_GB2312"/>
                <w:szCs w:val="21"/>
              </w:rPr>
              <w:t>个人</w:t>
            </w:r>
          </w:p>
        </w:tc>
        <w:tc>
          <w:tcPr>
            <w:tcW w:w="1493" w:type="dxa"/>
            <w:tcBorders>
              <w:top w:val="single" w:color="auto" w:sz="4" w:space="0"/>
              <w:left w:val="nil"/>
              <w:bottom w:val="single" w:color="auto" w:sz="4" w:space="0"/>
              <w:right w:val="single" w:color="auto" w:sz="4" w:space="0"/>
            </w:tcBorders>
            <w:vAlign w:val="center"/>
          </w:tcPr>
          <w:p w14:paraId="7BE0230A">
            <w:pPr>
              <w:widowControl/>
              <w:snapToGrid w:val="0"/>
              <w:spacing w:line="240" w:lineRule="auto"/>
              <w:ind w:left="0" w:leftChars="0" w:right="0" w:rightChars="0" w:firstLine="0" w:firstLineChars="0"/>
              <w:jc w:val="left"/>
              <w:rPr>
                <w:rFonts w:ascii="仿宋" w:hAnsi="仿宋" w:eastAsia="仿宋" w:cs="仿宋_GB2312"/>
                <w:szCs w:val="21"/>
              </w:rPr>
            </w:pPr>
            <w:r>
              <w:rPr>
                <w:rFonts w:hint="eastAsia" w:ascii="仿宋" w:hAnsi="仿宋" w:eastAsia="仿宋" w:cs="仿宋_GB2312"/>
                <w:szCs w:val="21"/>
              </w:rPr>
              <w:t>个人</w:t>
            </w:r>
          </w:p>
        </w:tc>
      </w:tr>
    </w:tbl>
    <w:p w14:paraId="27B039B1">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_GB2312"/>
          <w:b/>
          <w:sz w:val="28"/>
          <w:szCs w:val="28"/>
        </w:rPr>
      </w:pPr>
      <w:r>
        <w:rPr>
          <w:rFonts w:hint="eastAsia" w:ascii="仿宋" w:hAnsi="仿宋" w:eastAsia="仿宋" w:cs="仿宋_GB2312"/>
          <w:b/>
          <w:sz w:val="28"/>
          <w:szCs w:val="28"/>
        </w:rPr>
        <w:t>八、参赛资格</w:t>
      </w:r>
    </w:p>
    <w:p w14:paraId="201FFBE4">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_GB2312"/>
          <w:sz w:val="28"/>
          <w:szCs w:val="28"/>
        </w:rPr>
        <w:t>（一）</w:t>
      </w:r>
      <w:r>
        <w:rPr>
          <w:rFonts w:hint="eastAsia" w:ascii="仿宋" w:hAnsi="仿宋" w:eastAsia="仿宋" w:cs="仿宋"/>
          <w:sz w:val="28"/>
          <w:szCs w:val="28"/>
        </w:rPr>
        <w:t>运动员须具有中国国籍（包括港、澳、台）。运动员须经医务部门检查，证明身体健康，适合参赛。</w:t>
      </w:r>
    </w:p>
    <w:p w14:paraId="36EDA182">
      <w:pPr>
        <w:keepNext w:val="0"/>
        <w:keepLines w:val="0"/>
        <w:pageBreakBefore w:val="0"/>
        <w:widowControl w:val="0"/>
        <w:kinsoku/>
        <w:wordWrap/>
        <w:overflowPunct/>
        <w:topLinePunct w:val="0"/>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380A519D">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（三）参赛运动员必须是2026年在本市有效注册的青少年运动员，并持本人当年有效的《上海市</w:t>
      </w:r>
      <w:r>
        <w:rPr>
          <w:rFonts w:hint="eastAsia" w:ascii="仿宋" w:hAnsi="仿宋" w:eastAsia="仿宋" w:cs="仿宋"/>
          <w:sz w:val="28"/>
          <w:szCs w:val="28"/>
        </w:rPr>
        <w:t>棋牌项目</w:t>
      </w:r>
      <w:r>
        <w:rPr>
          <w:rFonts w:hint="eastAsia" w:ascii="仿宋" w:hAnsi="仿宋" w:eastAsia="仿宋" w:cs="仿宋_GB2312"/>
          <w:sz w:val="28"/>
          <w:szCs w:val="28"/>
        </w:rPr>
        <w:t>青少年运动员参赛卡》参赛。</w:t>
      </w:r>
    </w:p>
    <w:p w14:paraId="5C02E722">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（四）</w:t>
      </w:r>
      <w:r>
        <w:rPr>
          <w:rFonts w:hint="eastAsia" w:ascii="仿宋" w:hAnsi="仿宋" w:eastAsia="仿宋" w:cs="仿宋"/>
          <w:sz w:val="28"/>
          <w:szCs w:val="28"/>
        </w:rPr>
        <w:t>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2AA2A9EE">
      <w:pPr>
        <w:keepNext w:val="0"/>
        <w:keepLines w:val="0"/>
        <w:pageBreakBefore w:val="0"/>
        <w:widowControl w:val="0"/>
        <w:numPr>
          <w:ilvl w:val="255"/>
          <w:numId w:val="0"/>
        </w:numPr>
        <w:kinsoku/>
        <w:wordWrap/>
        <w:overflowPunct/>
        <w:topLinePunct w:val="0"/>
        <w:autoSpaceDE/>
        <w:autoSpaceDN/>
        <w:bidi w:val="0"/>
        <w:spacing w:line="54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（五）2026年已在外省市注册或代表外省市在国家体育总局注册的运动员不得参加比赛，经上海市体育局批准同意交流至外省市的运动员除外。</w:t>
      </w:r>
    </w:p>
    <w:p w14:paraId="5F6F3C6D">
      <w:pPr>
        <w:keepNext w:val="0"/>
        <w:keepLines w:val="0"/>
        <w:pageBreakBefore w:val="0"/>
        <w:widowControl w:val="0"/>
        <w:numPr>
          <w:ilvl w:val="255"/>
          <w:numId w:val="0"/>
        </w:numPr>
        <w:kinsoku/>
        <w:wordWrap/>
        <w:overflowPunct/>
        <w:topLinePunct w:val="0"/>
        <w:autoSpaceDE/>
        <w:autoSpaceDN/>
        <w:bidi w:val="0"/>
        <w:spacing w:line="540" w:lineRule="exact"/>
        <w:ind w:firstLine="544" w:firstLineChars="200"/>
        <w:textAlignment w:val="auto"/>
        <w:rPr>
          <w:rFonts w:ascii="仿宋" w:hAnsi="仿宋" w:eastAsia="仿宋" w:cs="仿宋_GB2312"/>
          <w:sz w:val="28"/>
          <w:szCs w:val="28"/>
        </w:rPr>
      </w:pPr>
      <w:r>
        <w:rPr>
          <w:rFonts w:hint="eastAsia" w:ascii="仿宋" w:hAnsi="仿宋" w:eastAsia="仿宋" w:cs="仿宋"/>
          <w:spacing w:val="-4"/>
          <w:sz w:val="28"/>
          <w:szCs w:val="28"/>
        </w:rPr>
        <w:t>（六）本市市属青少年高水平运动队在编运动员代表注册单位参赛。</w:t>
      </w:r>
    </w:p>
    <w:p w14:paraId="79045659">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_GB2312"/>
          <w:b/>
          <w:sz w:val="28"/>
          <w:szCs w:val="28"/>
        </w:rPr>
      </w:pPr>
      <w:r>
        <w:rPr>
          <w:rFonts w:hint="eastAsia" w:ascii="仿宋" w:hAnsi="仿宋" w:eastAsia="仿宋" w:cs="仿宋_GB2312"/>
          <w:b/>
          <w:sz w:val="28"/>
          <w:szCs w:val="28"/>
        </w:rPr>
        <w:t>九、</w:t>
      </w:r>
      <w:r>
        <w:rPr>
          <w:rFonts w:hint="eastAsia" w:ascii="仿宋" w:hAnsi="仿宋" w:eastAsia="仿宋" w:cs="仿宋"/>
          <w:b/>
          <w:sz w:val="28"/>
          <w:szCs w:val="28"/>
        </w:rPr>
        <w:t>参加办法</w:t>
      </w:r>
    </w:p>
    <w:p w14:paraId="721A2960">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（一）各单位</w:t>
      </w:r>
      <w:r>
        <w:rPr>
          <w:rFonts w:ascii="仿宋" w:hAnsi="仿宋" w:eastAsia="仿宋" w:cs="仿宋_GB2312"/>
          <w:sz w:val="28"/>
          <w:szCs w:val="28"/>
        </w:rPr>
        <w:t>可</w:t>
      </w:r>
      <w:r>
        <w:rPr>
          <w:rFonts w:hint="eastAsia" w:ascii="仿宋" w:hAnsi="仿宋" w:eastAsia="仿宋" w:cs="仿宋_GB2312"/>
          <w:sz w:val="28"/>
          <w:szCs w:val="28"/>
        </w:rPr>
        <w:t>报</w:t>
      </w:r>
      <w:r>
        <w:rPr>
          <w:rFonts w:ascii="仿宋" w:hAnsi="仿宋" w:eastAsia="仿宋" w:cs="仿宋_GB2312"/>
          <w:sz w:val="28"/>
          <w:szCs w:val="28"/>
        </w:rPr>
        <w:t>领</w:t>
      </w:r>
      <w:r>
        <w:rPr>
          <w:rFonts w:hint="eastAsia" w:ascii="仿宋" w:hAnsi="仿宋" w:eastAsia="仿宋" w:cs="仿宋_GB2312"/>
          <w:sz w:val="28"/>
          <w:szCs w:val="28"/>
        </w:rPr>
        <w:t>队1名，</w:t>
      </w:r>
      <w:r>
        <w:rPr>
          <w:rFonts w:hint="eastAsia" w:ascii="仿宋" w:hAnsi="仿宋" w:eastAsia="仿宋" w:cs="仿宋_GB2312"/>
          <w:kern w:val="0"/>
          <w:sz w:val="28"/>
          <w:szCs w:val="28"/>
        </w:rPr>
        <w:t>各组别</w:t>
      </w:r>
      <w:r>
        <w:rPr>
          <w:rFonts w:ascii="仿宋" w:hAnsi="仿宋" w:eastAsia="仿宋" w:cs="仿宋_GB2312"/>
          <w:sz w:val="28"/>
          <w:szCs w:val="28"/>
        </w:rPr>
        <w:t>可报教练</w:t>
      </w:r>
      <w:r>
        <w:rPr>
          <w:rFonts w:hint="eastAsia" w:ascii="仿宋" w:hAnsi="仿宋" w:eastAsia="仿宋" w:cs="仿宋_GB2312"/>
          <w:sz w:val="28"/>
          <w:szCs w:val="28"/>
        </w:rPr>
        <w:t>1名。本届市运会教练员须是2026年在上海市棋牌运动管理中心有效注册的青训教练员，方可报名参赛。</w:t>
      </w:r>
    </w:p>
    <w:p w14:paraId="06415D87">
      <w:pPr>
        <w:keepNext w:val="0"/>
        <w:keepLines w:val="0"/>
        <w:pageBreakBefore w:val="0"/>
        <w:widowControl w:val="0"/>
        <w:kinsoku/>
        <w:wordWrap/>
        <w:overflowPunct/>
        <w:topLinePunct w:val="0"/>
        <w:autoSpaceDE/>
        <w:autoSpaceDN/>
        <w:bidi w:val="0"/>
        <w:adjustRightInd w:val="0"/>
        <w:snapToGrid w:val="0"/>
        <w:spacing w:line="540" w:lineRule="exact"/>
        <w:ind w:firstLine="840" w:firstLineChars="300"/>
        <w:textAlignment w:val="auto"/>
        <w:rPr>
          <w:rFonts w:ascii="仿宋" w:hAnsi="仿宋" w:eastAsia="仿宋" w:cs="仿宋_GB2312"/>
          <w:kern w:val="0"/>
          <w:sz w:val="28"/>
          <w:szCs w:val="28"/>
        </w:rPr>
      </w:pPr>
      <w:r>
        <w:rPr>
          <w:rFonts w:hint="eastAsia" w:ascii="仿宋" w:hAnsi="仿宋" w:eastAsia="仿宋" w:cs="仿宋_GB2312"/>
          <w:sz w:val="28"/>
          <w:szCs w:val="28"/>
        </w:rPr>
        <w:t>1.</w:t>
      </w:r>
      <w:r>
        <w:rPr>
          <w:rFonts w:hint="eastAsia" w:ascii="仿宋" w:hAnsi="仿宋" w:eastAsia="仿宋" w:cs="仿宋_GB2312"/>
          <w:kern w:val="0"/>
          <w:sz w:val="28"/>
          <w:szCs w:val="28"/>
        </w:rPr>
        <w:t xml:space="preserve"> 各单位</w:t>
      </w:r>
      <w:r>
        <w:rPr>
          <w:rFonts w:hint="eastAsia" w:ascii="仿宋" w:hAnsi="仿宋" w:eastAsia="仿宋" w:cs="仿宋_GB2312"/>
          <w:sz w:val="28"/>
          <w:szCs w:val="28"/>
        </w:rPr>
        <w:t>A</w:t>
      </w:r>
      <w:r>
        <w:rPr>
          <w:rFonts w:hint="eastAsia" w:ascii="仿宋" w:hAnsi="仿宋" w:eastAsia="仿宋" w:cs="仿宋_GB2312"/>
          <w:kern w:val="0"/>
          <w:sz w:val="28"/>
          <w:szCs w:val="28"/>
        </w:rPr>
        <w:t>组混合团体限报1支队伍，须报上场男运动员2名和女运动员1名，可报男、女替补运动员各1名。</w:t>
      </w:r>
    </w:p>
    <w:p w14:paraId="1ED5DC0D">
      <w:pPr>
        <w:keepNext w:val="0"/>
        <w:keepLines w:val="0"/>
        <w:pageBreakBefore w:val="0"/>
        <w:widowControl w:val="0"/>
        <w:kinsoku/>
        <w:wordWrap/>
        <w:overflowPunct/>
        <w:topLinePunct w:val="0"/>
        <w:autoSpaceDE/>
        <w:autoSpaceDN/>
        <w:bidi w:val="0"/>
        <w:adjustRightInd w:val="0"/>
        <w:snapToGrid w:val="0"/>
        <w:spacing w:line="540" w:lineRule="exact"/>
        <w:ind w:firstLine="840" w:firstLineChars="300"/>
        <w:textAlignment w:val="auto"/>
        <w:rPr>
          <w:rFonts w:ascii="仿宋" w:hAnsi="仿宋" w:eastAsia="仿宋" w:cs="仿宋_GB2312"/>
          <w:kern w:val="0"/>
          <w:sz w:val="28"/>
          <w:szCs w:val="28"/>
        </w:rPr>
      </w:pPr>
      <w:r>
        <w:rPr>
          <w:rFonts w:hint="eastAsia" w:ascii="仿宋" w:hAnsi="仿宋" w:eastAsia="仿宋" w:cs="仿宋_GB2312"/>
          <w:sz w:val="28"/>
          <w:szCs w:val="28"/>
        </w:rPr>
        <w:t>2.</w:t>
      </w:r>
      <w:r>
        <w:rPr>
          <w:rFonts w:hint="eastAsia" w:ascii="仿宋" w:hAnsi="仿宋" w:eastAsia="仿宋" w:cs="仿宋_GB2312"/>
          <w:kern w:val="0"/>
          <w:sz w:val="28"/>
          <w:szCs w:val="28"/>
        </w:rPr>
        <w:t xml:space="preserve"> 各单位B组个人可报男、女运动员各1-2名；男子团体限报1支队伍，须报上场运动员3名，可报替补运动员1名；女子团体限报1支队伍，须报上场运动员2名，可报替补运动员1名。</w:t>
      </w:r>
    </w:p>
    <w:p w14:paraId="2E0A7EEF">
      <w:pPr>
        <w:keepNext w:val="0"/>
        <w:keepLines w:val="0"/>
        <w:pageBreakBefore w:val="0"/>
        <w:widowControl w:val="0"/>
        <w:kinsoku/>
        <w:wordWrap/>
        <w:overflowPunct/>
        <w:topLinePunct w:val="0"/>
        <w:autoSpaceDE/>
        <w:autoSpaceDN/>
        <w:bidi w:val="0"/>
        <w:adjustRightInd w:val="0"/>
        <w:snapToGrid w:val="0"/>
        <w:spacing w:line="540" w:lineRule="exact"/>
        <w:ind w:firstLine="840" w:firstLineChars="300"/>
        <w:textAlignment w:val="auto"/>
        <w:rPr>
          <w:rFonts w:ascii="仿宋" w:hAnsi="仿宋" w:eastAsia="仿宋" w:cs="仿宋_GB2312"/>
          <w:kern w:val="0"/>
          <w:sz w:val="28"/>
          <w:szCs w:val="28"/>
        </w:rPr>
      </w:pPr>
      <w:r>
        <w:rPr>
          <w:rFonts w:hint="eastAsia" w:ascii="仿宋" w:hAnsi="仿宋" w:eastAsia="仿宋" w:cs="仿宋_GB2312"/>
          <w:sz w:val="28"/>
          <w:szCs w:val="28"/>
        </w:rPr>
        <w:t>3.</w:t>
      </w:r>
      <w:r>
        <w:rPr>
          <w:rFonts w:hint="eastAsia" w:ascii="仿宋" w:hAnsi="仿宋" w:eastAsia="仿宋" w:cs="仿宋_GB2312"/>
          <w:kern w:val="0"/>
          <w:sz w:val="28"/>
          <w:szCs w:val="28"/>
        </w:rPr>
        <w:t xml:space="preserve"> 各单位</w:t>
      </w:r>
      <w:r>
        <w:rPr>
          <w:rFonts w:hint="eastAsia" w:ascii="仿宋" w:hAnsi="仿宋" w:eastAsia="仿宋" w:cs="仿宋_GB2312"/>
          <w:sz w:val="28"/>
          <w:szCs w:val="28"/>
        </w:rPr>
        <w:t>C</w:t>
      </w:r>
      <w:r>
        <w:rPr>
          <w:rFonts w:hint="eastAsia" w:ascii="仿宋" w:hAnsi="仿宋" w:eastAsia="仿宋" w:cs="仿宋_GB2312"/>
          <w:kern w:val="0"/>
          <w:sz w:val="28"/>
          <w:szCs w:val="28"/>
        </w:rPr>
        <w:t>组混合团体限报1支队伍，须报上场男运动员2名和女运动员2名，可报男、女替补运动员各1名。</w:t>
      </w:r>
    </w:p>
    <w:p w14:paraId="089C2DC1">
      <w:pPr>
        <w:keepNext w:val="0"/>
        <w:keepLines w:val="0"/>
        <w:pageBreakBefore w:val="0"/>
        <w:widowControl w:val="0"/>
        <w:kinsoku/>
        <w:wordWrap/>
        <w:overflowPunct/>
        <w:topLinePunct w:val="0"/>
        <w:autoSpaceDE/>
        <w:autoSpaceDN/>
        <w:bidi w:val="0"/>
        <w:adjustRightInd w:val="0"/>
        <w:snapToGrid w:val="0"/>
        <w:spacing w:line="540" w:lineRule="exact"/>
        <w:ind w:firstLine="840" w:firstLineChars="300"/>
        <w:textAlignment w:val="auto"/>
        <w:rPr>
          <w:rFonts w:ascii="仿宋" w:hAnsi="仿宋" w:eastAsia="仿宋" w:cs="仿宋_GB2312"/>
          <w:sz w:val="28"/>
          <w:szCs w:val="28"/>
        </w:rPr>
      </w:pPr>
      <w:r>
        <w:rPr>
          <w:rFonts w:hint="eastAsia" w:ascii="仿宋" w:hAnsi="仿宋" w:eastAsia="仿宋" w:cs="仿宋_GB2312"/>
          <w:sz w:val="28"/>
          <w:szCs w:val="28"/>
        </w:rPr>
        <w:t>4.</w:t>
      </w:r>
      <w:r>
        <w:rPr>
          <w:rFonts w:hint="eastAsia" w:ascii="仿宋" w:hAnsi="仿宋" w:eastAsia="仿宋" w:cs="仿宋_GB2312"/>
          <w:kern w:val="0"/>
          <w:sz w:val="28"/>
          <w:szCs w:val="28"/>
        </w:rPr>
        <w:t xml:space="preserve"> 各单位D组个人可报男、女各1-2名运动员。</w:t>
      </w:r>
    </w:p>
    <w:p w14:paraId="1DBA1D74">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（二）</w:t>
      </w:r>
      <w:r>
        <w:rPr>
          <w:rFonts w:hint="eastAsia" w:ascii="仿宋" w:hAnsi="仿宋" w:eastAsia="仿宋" w:cs="仿宋"/>
          <w:sz w:val="28"/>
          <w:szCs w:val="28"/>
        </w:rPr>
        <w:t>参赛单位通过大会指定的网站</w:t>
      </w:r>
      <w:r>
        <w:fldChar w:fldCharType="begin"/>
      </w:r>
      <w:r>
        <w:instrText xml:space="preserve"> HYPERLINK "http://www.aijingsai.cn" </w:instrText>
      </w:r>
      <w:r>
        <w:fldChar w:fldCharType="separate"/>
      </w:r>
      <w:r>
        <w:rPr>
          <w:rStyle w:val="9"/>
          <w:rFonts w:hint="eastAsia" w:ascii="仿宋" w:hAnsi="仿宋" w:eastAsia="仿宋" w:cs="仿宋"/>
          <w:color w:val="auto"/>
          <w:sz w:val="28"/>
          <w:szCs w:val="28"/>
        </w:rPr>
        <w:t>www.aijingsai.cn</w:t>
      </w:r>
      <w:r>
        <w:rPr>
          <w:rStyle w:val="9"/>
          <w:rFonts w:hint="eastAsia" w:ascii="仿宋" w:hAnsi="仿宋" w:eastAsia="仿宋" w:cs="仿宋"/>
          <w:color w:val="auto"/>
          <w:sz w:val="28"/>
          <w:szCs w:val="28"/>
        </w:rPr>
        <w:fldChar w:fldCharType="end"/>
      </w:r>
      <w:r>
        <w:rPr>
          <w:rFonts w:hint="eastAsia" w:ascii="仿宋" w:hAnsi="仿宋" w:eastAsia="仿宋" w:cs="仿宋"/>
          <w:sz w:val="28"/>
          <w:szCs w:val="28"/>
        </w:rPr>
        <w:t>（上海青少年体育赛事网）进行网上报名，并在规定时间内将导出打印的报名表加盖公章后，一式两份报大会组委会竞赛部（地址：徐汇区零陵路800号8楼，竞赛部，31211118）。</w:t>
      </w:r>
    </w:p>
    <w:p w14:paraId="51F915BE">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 xml:space="preserve">（三）各单位须在领队教练联席会议上递交运动员保险，否则取消参赛资格。 </w:t>
      </w:r>
    </w:p>
    <w:p w14:paraId="0F8BFEA0">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（四）抽签与领队教练联席会议由竞委会另行通知。</w:t>
      </w:r>
    </w:p>
    <w:p w14:paraId="0721AD06">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_GB2312"/>
          <w:b/>
          <w:sz w:val="28"/>
          <w:szCs w:val="28"/>
        </w:rPr>
      </w:pPr>
      <w:r>
        <w:rPr>
          <w:rFonts w:hint="eastAsia" w:ascii="仿宋" w:hAnsi="仿宋" w:eastAsia="仿宋" w:cs="仿宋_GB2312"/>
          <w:b/>
          <w:sz w:val="28"/>
          <w:szCs w:val="28"/>
        </w:rPr>
        <w:t>十、竞赛办法</w:t>
      </w:r>
    </w:p>
    <w:p w14:paraId="4596DF09">
      <w:pPr>
        <w:keepNext w:val="0"/>
        <w:keepLines w:val="0"/>
        <w:pageBreakBefore w:val="0"/>
        <w:widowControl w:val="0"/>
        <w:kinsoku/>
        <w:wordWrap/>
        <w:overflowPunct/>
        <w:topLinePunct w:val="0"/>
        <w:autoSpaceDE/>
        <w:autoSpaceDN/>
        <w:bidi w:val="0"/>
        <w:adjustRightInd w:val="0"/>
        <w:snapToGrid w:val="0"/>
        <w:spacing w:line="540" w:lineRule="exact"/>
        <w:ind w:firstLine="570"/>
        <w:textAlignment w:val="auto"/>
        <w:rPr>
          <w:rFonts w:ascii="仿宋" w:hAnsi="仿宋" w:eastAsia="仿宋" w:cs="仿宋_GB2312"/>
          <w:sz w:val="28"/>
          <w:szCs w:val="28"/>
        </w:rPr>
      </w:pPr>
      <w:r>
        <w:rPr>
          <w:rFonts w:hint="eastAsia" w:ascii="仿宋" w:hAnsi="仿宋" w:eastAsia="仿宋" w:cs="仿宋_GB2312"/>
          <w:sz w:val="28"/>
          <w:szCs w:val="28"/>
        </w:rPr>
        <w:t xml:space="preserve">（一）比赛按中国象棋协会最新审定的2020年《象棋竞赛规则》 </w:t>
      </w:r>
    </w:p>
    <w:p w14:paraId="30B1D3D6">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ascii="仿宋" w:hAnsi="仿宋" w:eastAsia="仿宋" w:cs="仿宋_GB2312"/>
          <w:sz w:val="28"/>
          <w:szCs w:val="28"/>
        </w:rPr>
      </w:pPr>
      <w:r>
        <w:rPr>
          <w:rFonts w:hint="eastAsia" w:ascii="仿宋" w:hAnsi="仿宋" w:eastAsia="仿宋" w:cs="仿宋_GB2312"/>
          <w:sz w:val="28"/>
          <w:szCs w:val="28"/>
        </w:rPr>
        <w:t>及有关规定执行。</w:t>
      </w:r>
    </w:p>
    <w:p w14:paraId="3D50D60C">
      <w:pPr>
        <w:keepNext w:val="0"/>
        <w:keepLines w:val="0"/>
        <w:pageBreakBefore w:val="0"/>
        <w:widowControl w:val="0"/>
        <w:kinsoku/>
        <w:wordWrap/>
        <w:overflowPunct/>
        <w:topLinePunct w:val="0"/>
        <w:autoSpaceDE/>
        <w:autoSpaceDN/>
        <w:bidi w:val="0"/>
        <w:adjustRightInd w:val="0"/>
        <w:snapToGrid w:val="0"/>
        <w:spacing w:line="540" w:lineRule="exact"/>
        <w:ind w:firstLine="564"/>
        <w:textAlignment w:val="auto"/>
        <w:rPr>
          <w:rFonts w:ascii="仿宋" w:hAnsi="仿宋" w:eastAsia="仿宋" w:cs="仿宋_GB2312"/>
          <w:sz w:val="28"/>
          <w:szCs w:val="28"/>
        </w:rPr>
      </w:pPr>
      <w:r>
        <w:rPr>
          <w:rFonts w:hint="eastAsia" w:ascii="仿宋" w:hAnsi="仿宋" w:eastAsia="仿宋" w:cs="仿宋_GB2312"/>
          <w:sz w:val="28"/>
          <w:szCs w:val="28"/>
        </w:rPr>
        <w:t>（二）根据报名参赛人数决定赛制：</w:t>
      </w:r>
    </w:p>
    <w:p w14:paraId="16BFE9DB">
      <w:pPr>
        <w:keepNext w:val="0"/>
        <w:keepLines w:val="0"/>
        <w:pageBreakBefore w:val="0"/>
        <w:widowControl w:val="0"/>
        <w:kinsoku/>
        <w:wordWrap/>
        <w:overflowPunct/>
        <w:topLinePunct w:val="0"/>
        <w:autoSpaceDE/>
        <w:autoSpaceDN/>
        <w:bidi w:val="0"/>
        <w:adjustRightInd w:val="0"/>
        <w:snapToGrid w:val="0"/>
        <w:spacing w:line="540" w:lineRule="exact"/>
        <w:ind w:firstLine="564"/>
        <w:textAlignment w:val="auto"/>
        <w:rPr>
          <w:rFonts w:ascii="仿宋" w:hAnsi="仿宋" w:eastAsia="仿宋" w:cs="仿宋_GB2312"/>
          <w:sz w:val="28"/>
          <w:szCs w:val="28"/>
        </w:rPr>
      </w:pPr>
      <w:r>
        <w:rPr>
          <w:rFonts w:hint="eastAsia" w:ascii="仿宋" w:hAnsi="仿宋" w:eastAsia="仿宋" w:cs="仿宋_GB2312"/>
          <w:sz w:val="28"/>
          <w:szCs w:val="28"/>
        </w:rPr>
        <w:t>1. 混合团体赛、团体赛少于8队（含8队）采用循环制，多于8队采用积分编排制。</w:t>
      </w:r>
    </w:p>
    <w:p w14:paraId="7A2849A9">
      <w:pPr>
        <w:keepNext w:val="0"/>
        <w:keepLines w:val="0"/>
        <w:pageBreakBefore w:val="0"/>
        <w:widowControl w:val="0"/>
        <w:kinsoku/>
        <w:wordWrap/>
        <w:overflowPunct/>
        <w:topLinePunct w:val="0"/>
        <w:autoSpaceDE/>
        <w:autoSpaceDN/>
        <w:bidi w:val="0"/>
        <w:adjustRightInd w:val="0"/>
        <w:snapToGrid w:val="0"/>
        <w:spacing w:line="540" w:lineRule="exact"/>
        <w:ind w:firstLine="564"/>
        <w:textAlignment w:val="auto"/>
        <w:rPr>
          <w:rFonts w:ascii="仿宋" w:hAnsi="仿宋" w:eastAsia="仿宋" w:cs="仿宋_GB2312"/>
          <w:sz w:val="28"/>
          <w:szCs w:val="28"/>
        </w:rPr>
      </w:pPr>
      <w:r>
        <w:rPr>
          <w:rFonts w:ascii="仿宋" w:hAnsi="仿宋" w:eastAsia="仿宋" w:cs="仿宋_GB2312"/>
          <w:sz w:val="28"/>
          <w:szCs w:val="28"/>
        </w:rPr>
        <w:t>2.</w:t>
      </w:r>
      <w:r>
        <w:rPr>
          <w:rFonts w:hint="eastAsia" w:ascii="仿宋" w:hAnsi="仿宋" w:eastAsia="仿宋" w:cs="仿宋_GB2312"/>
          <w:sz w:val="28"/>
          <w:szCs w:val="28"/>
        </w:rPr>
        <w:t xml:space="preserve"> 个人赛少于8人（含8人）采用循环制，个人赛多于8人采用积分编排制。</w:t>
      </w:r>
    </w:p>
    <w:p w14:paraId="1B41FB71">
      <w:pPr>
        <w:keepNext w:val="0"/>
        <w:keepLines w:val="0"/>
        <w:pageBreakBefore w:val="0"/>
        <w:widowControl w:val="0"/>
        <w:kinsoku/>
        <w:wordWrap/>
        <w:overflowPunct/>
        <w:topLinePunct w:val="0"/>
        <w:autoSpaceDE/>
        <w:autoSpaceDN/>
        <w:bidi w:val="0"/>
        <w:adjustRightInd w:val="0"/>
        <w:snapToGrid w:val="0"/>
        <w:spacing w:line="540" w:lineRule="exact"/>
        <w:ind w:firstLine="564"/>
        <w:textAlignment w:val="auto"/>
        <w:rPr>
          <w:rFonts w:ascii="仿宋" w:hAnsi="仿宋" w:eastAsia="仿宋" w:cs="仿宋_GB2312"/>
          <w:sz w:val="28"/>
          <w:szCs w:val="28"/>
        </w:rPr>
      </w:pPr>
      <w:r>
        <w:rPr>
          <w:rFonts w:hint="eastAsia" w:ascii="仿宋" w:hAnsi="仿宋" w:eastAsia="仿宋" w:cs="仿宋_GB2312"/>
          <w:sz w:val="28"/>
          <w:szCs w:val="28"/>
        </w:rPr>
        <w:t>（三）</w:t>
      </w:r>
      <w:r>
        <w:rPr>
          <w:rFonts w:hint="eastAsia" w:ascii="仿宋" w:hAnsi="仿宋" w:eastAsia="仿宋" w:cs="仿宋_GB2312"/>
          <w:color w:val="000000"/>
          <w:sz w:val="28"/>
          <w:szCs w:val="28"/>
        </w:rPr>
        <w:t>团体赛、混合团体赛采用台次固定制，替补队员只能替补该队因故无法参加团体赛的运动员。A组第一、二台为男子运动员，第三台为女子运动员，C组第一、二台为男子运动员，第三、四台为女子运动员。</w:t>
      </w:r>
    </w:p>
    <w:p w14:paraId="16C14412">
      <w:pPr>
        <w:keepNext w:val="0"/>
        <w:keepLines w:val="0"/>
        <w:pageBreakBefore w:val="0"/>
        <w:widowControl w:val="0"/>
        <w:kinsoku/>
        <w:wordWrap/>
        <w:overflowPunct/>
        <w:topLinePunct w:val="0"/>
        <w:autoSpaceDE/>
        <w:autoSpaceDN/>
        <w:bidi w:val="0"/>
        <w:adjustRightInd w:val="0"/>
        <w:snapToGrid w:val="0"/>
        <w:spacing w:line="540" w:lineRule="exact"/>
        <w:ind w:firstLine="564"/>
        <w:textAlignment w:val="auto"/>
        <w:rPr>
          <w:rFonts w:ascii="仿宋" w:hAnsi="仿宋" w:eastAsia="仿宋" w:cs="仿宋_GB2312"/>
          <w:sz w:val="28"/>
          <w:szCs w:val="28"/>
        </w:rPr>
      </w:pPr>
      <w:r>
        <w:rPr>
          <w:rFonts w:hint="eastAsia" w:ascii="仿宋" w:hAnsi="仿宋" w:eastAsia="仿宋" w:cs="仿宋_GB2312"/>
          <w:sz w:val="28"/>
          <w:szCs w:val="28"/>
        </w:rPr>
        <w:t>（四）</w:t>
      </w:r>
      <w:r>
        <w:rPr>
          <w:rFonts w:hint="eastAsia" w:ascii="仿宋" w:hAnsi="仿宋" w:eastAsia="仿宋" w:cs="仿宋_GB2312"/>
          <w:color w:val="000000"/>
          <w:sz w:val="28"/>
          <w:szCs w:val="28"/>
        </w:rPr>
        <w:t>比赛用时：</w:t>
      </w:r>
      <w:r>
        <w:rPr>
          <w:rFonts w:hint="eastAsia" w:ascii="仿宋" w:hAnsi="仿宋" w:eastAsia="仿宋" w:cs="仿宋_GB2312"/>
          <w:sz w:val="28"/>
          <w:szCs w:val="28"/>
        </w:rPr>
        <w:t>每局每方</w:t>
      </w:r>
      <w:r>
        <w:rPr>
          <w:rFonts w:ascii="仿宋" w:hAnsi="仿宋" w:eastAsia="仿宋" w:cs="仿宋_GB2312"/>
          <w:sz w:val="28"/>
          <w:szCs w:val="28"/>
        </w:rPr>
        <w:t>30</w:t>
      </w:r>
      <w:r>
        <w:rPr>
          <w:rFonts w:hint="eastAsia" w:ascii="仿宋" w:hAnsi="仿宋" w:eastAsia="仿宋" w:cs="仿宋_GB2312"/>
          <w:sz w:val="28"/>
          <w:szCs w:val="28"/>
        </w:rPr>
        <w:t>分钟，每步加10秒，超时判负。</w:t>
      </w:r>
    </w:p>
    <w:p w14:paraId="08101B1C">
      <w:pPr>
        <w:keepNext w:val="0"/>
        <w:keepLines w:val="0"/>
        <w:pageBreakBefore w:val="0"/>
        <w:widowControl w:val="0"/>
        <w:kinsoku/>
        <w:wordWrap/>
        <w:overflowPunct/>
        <w:topLinePunct w:val="0"/>
        <w:autoSpaceDE/>
        <w:autoSpaceDN/>
        <w:bidi w:val="0"/>
        <w:spacing w:line="540" w:lineRule="exact"/>
        <w:ind w:right="-67" w:rightChars="-32" w:firstLine="565" w:firstLineChars="202"/>
        <w:textAlignment w:val="auto"/>
        <w:rPr>
          <w:rFonts w:ascii="仿宋" w:hAnsi="仿宋" w:eastAsia="仿宋" w:cs="仿宋_GB2312"/>
          <w:kern w:val="0"/>
          <w:sz w:val="28"/>
          <w:szCs w:val="28"/>
        </w:rPr>
      </w:pPr>
      <w:r>
        <w:rPr>
          <w:rFonts w:hint="eastAsia" w:ascii="仿宋" w:hAnsi="仿宋" w:eastAsia="仿宋" w:cs="仿宋_GB2312"/>
          <w:kern w:val="0"/>
          <w:sz w:val="28"/>
          <w:szCs w:val="28"/>
        </w:rPr>
        <w:t>（五）名次判定：</w:t>
      </w:r>
    </w:p>
    <w:p w14:paraId="25FBF6DD">
      <w:pPr>
        <w:keepNext w:val="0"/>
        <w:keepLines w:val="0"/>
        <w:pageBreakBefore w:val="0"/>
        <w:widowControl w:val="0"/>
        <w:kinsoku/>
        <w:wordWrap/>
        <w:overflowPunct/>
        <w:topLinePunct w:val="0"/>
        <w:autoSpaceDE/>
        <w:autoSpaceDN/>
        <w:bidi w:val="0"/>
        <w:spacing w:line="540" w:lineRule="exact"/>
        <w:ind w:right="-67" w:rightChars="-32" w:firstLine="565" w:firstLineChars="202"/>
        <w:textAlignment w:val="auto"/>
        <w:rPr>
          <w:rFonts w:ascii="仿宋" w:hAnsi="仿宋" w:eastAsia="仿宋" w:cs="仿宋_GB2312"/>
          <w:kern w:val="0"/>
          <w:sz w:val="28"/>
          <w:szCs w:val="28"/>
        </w:rPr>
      </w:pPr>
      <w:r>
        <w:rPr>
          <w:rFonts w:hint="eastAsia" w:ascii="仿宋" w:hAnsi="仿宋" w:eastAsia="仿宋" w:cs="仿宋_GB2312"/>
          <w:kern w:val="0"/>
          <w:sz w:val="28"/>
          <w:szCs w:val="28"/>
        </w:rPr>
        <w:t>1.个人赛循环制</w:t>
      </w:r>
      <w:r>
        <w:rPr>
          <w:rFonts w:hint="eastAsia" w:ascii="仿宋" w:hAnsi="仿宋" w:eastAsia="仿宋" w:cs="仿宋_GB2312"/>
          <w:color w:val="000000"/>
          <w:sz w:val="28"/>
          <w:szCs w:val="28"/>
        </w:rPr>
        <w:t>名次依下列顺序（高者列前）判定</w:t>
      </w:r>
      <w:r>
        <w:rPr>
          <w:rFonts w:hint="eastAsia" w:ascii="仿宋" w:hAnsi="仿宋" w:eastAsia="仿宋" w:cs="仿宋_GB2312"/>
          <w:kern w:val="0"/>
          <w:sz w:val="28"/>
          <w:szCs w:val="28"/>
        </w:rPr>
        <w:t>：（1）积分；（2） 小分（所胜对手的全部积分与所和对手的积分的一半之和）；（3）胜局；（4）直胜；（5）犯规；（6）后走局数；（7）对局时后走；（8）后手胜局。</w:t>
      </w:r>
    </w:p>
    <w:p w14:paraId="40CEDBED">
      <w:pPr>
        <w:keepNext w:val="0"/>
        <w:keepLines w:val="0"/>
        <w:pageBreakBefore w:val="0"/>
        <w:widowControl w:val="0"/>
        <w:kinsoku/>
        <w:wordWrap/>
        <w:overflowPunct/>
        <w:topLinePunct w:val="0"/>
        <w:autoSpaceDE/>
        <w:autoSpaceDN/>
        <w:bidi w:val="0"/>
        <w:spacing w:line="540" w:lineRule="exact"/>
        <w:ind w:right="-67" w:rightChars="-32" w:firstLine="565" w:firstLineChars="202"/>
        <w:textAlignment w:val="auto"/>
        <w:rPr>
          <w:rFonts w:ascii="仿宋" w:hAnsi="仿宋" w:eastAsia="仿宋" w:cs="仿宋_GB2312"/>
          <w:kern w:val="0"/>
          <w:sz w:val="28"/>
          <w:szCs w:val="28"/>
        </w:rPr>
      </w:pPr>
      <w:r>
        <w:rPr>
          <w:rFonts w:hint="eastAsia" w:ascii="仿宋" w:hAnsi="仿宋" w:eastAsia="仿宋" w:cs="仿宋_GB2312"/>
          <w:kern w:val="0"/>
          <w:sz w:val="28"/>
          <w:szCs w:val="28"/>
        </w:rPr>
        <w:t>2.个人赛积分编排制</w:t>
      </w:r>
      <w:r>
        <w:rPr>
          <w:rFonts w:hint="eastAsia" w:ascii="仿宋" w:hAnsi="仿宋" w:eastAsia="仿宋" w:cs="仿宋_GB2312"/>
          <w:color w:val="000000"/>
          <w:sz w:val="28"/>
          <w:szCs w:val="28"/>
        </w:rPr>
        <w:t>名次依下列顺序（高者列前）判定</w:t>
      </w:r>
      <w:r>
        <w:rPr>
          <w:rFonts w:hint="eastAsia" w:ascii="仿宋" w:hAnsi="仿宋" w:eastAsia="仿宋" w:cs="仿宋_GB2312"/>
          <w:kern w:val="0"/>
          <w:sz w:val="28"/>
          <w:szCs w:val="28"/>
        </w:rPr>
        <w:t>：（1）积分；（2）对手分（所对弈过的全部对手的积分之和）；（3）胜局；（4）犯规；（5）后走局数；（6）后手胜局；（7）如无法区分，则比较前一轮成绩，以此类推，直至区分。</w:t>
      </w:r>
    </w:p>
    <w:p w14:paraId="1DF97CFF">
      <w:pPr>
        <w:keepNext w:val="0"/>
        <w:keepLines w:val="0"/>
        <w:pageBreakBefore w:val="0"/>
        <w:widowControl w:val="0"/>
        <w:kinsoku/>
        <w:wordWrap/>
        <w:overflowPunct/>
        <w:topLinePunct w:val="0"/>
        <w:autoSpaceDE/>
        <w:autoSpaceDN/>
        <w:bidi w:val="0"/>
        <w:spacing w:line="540" w:lineRule="exact"/>
        <w:ind w:right="-67" w:rightChars="-32" w:firstLine="565" w:firstLineChars="202"/>
        <w:textAlignment w:val="auto"/>
        <w:rPr>
          <w:rFonts w:ascii="仿宋" w:hAnsi="仿宋" w:eastAsia="仿宋" w:cs="仿宋_GB2312"/>
          <w:kern w:val="0"/>
          <w:sz w:val="28"/>
          <w:szCs w:val="28"/>
        </w:rPr>
      </w:pPr>
      <w:r>
        <w:rPr>
          <w:rFonts w:hint="eastAsia" w:ascii="仿宋" w:hAnsi="仿宋" w:eastAsia="仿宋" w:cs="仿宋_GB2312"/>
          <w:kern w:val="0"/>
          <w:sz w:val="28"/>
          <w:szCs w:val="28"/>
        </w:rPr>
        <w:t>3.团体赛、混合团体赛循环制</w:t>
      </w:r>
      <w:r>
        <w:rPr>
          <w:rFonts w:hint="eastAsia" w:ascii="仿宋" w:hAnsi="仿宋" w:eastAsia="仿宋" w:cs="仿宋_GB2312"/>
          <w:color w:val="000000"/>
          <w:sz w:val="28"/>
          <w:szCs w:val="28"/>
        </w:rPr>
        <w:t>名次依下列顺序（高者列前）判定</w:t>
      </w:r>
      <w:r>
        <w:rPr>
          <w:rFonts w:hint="eastAsia" w:ascii="仿宋" w:hAnsi="仿宋" w:eastAsia="仿宋" w:cs="仿宋_GB2312"/>
          <w:kern w:val="0"/>
          <w:sz w:val="28"/>
          <w:szCs w:val="28"/>
        </w:rPr>
        <w:t>：（1）场分；（2）全队总局分；（3）全队胜场；（4）全队胜局；（5）直胜；（6）全队犯规；（7）后走局数；（8）后走胜局。</w:t>
      </w:r>
    </w:p>
    <w:p w14:paraId="6C147E7D">
      <w:pPr>
        <w:keepNext w:val="0"/>
        <w:keepLines w:val="0"/>
        <w:pageBreakBefore w:val="0"/>
        <w:widowControl w:val="0"/>
        <w:kinsoku/>
        <w:wordWrap/>
        <w:overflowPunct/>
        <w:topLinePunct w:val="0"/>
        <w:autoSpaceDE/>
        <w:autoSpaceDN/>
        <w:bidi w:val="0"/>
        <w:spacing w:line="540" w:lineRule="exact"/>
        <w:ind w:right="-67" w:rightChars="-32" w:firstLine="565" w:firstLineChars="202"/>
        <w:textAlignment w:val="auto"/>
        <w:rPr>
          <w:rFonts w:ascii="仿宋" w:hAnsi="仿宋" w:eastAsia="仿宋" w:cs="仿宋_GB2312"/>
          <w:kern w:val="0"/>
          <w:sz w:val="28"/>
          <w:szCs w:val="28"/>
        </w:rPr>
      </w:pPr>
      <w:r>
        <w:rPr>
          <w:rFonts w:hint="eastAsia" w:ascii="仿宋" w:hAnsi="仿宋" w:eastAsia="仿宋"/>
          <w:color w:val="0D0D0D" w:themeColor="text1" w:themeTint="F2"/>
          <w:sz w:val="28"/>
          <w:szCs w:val="28"/>
          <w14:textFill>
            <w14:solidFill>
              <w14:schemeClr w14:val="tx1">
                <w14:lumMod w14:val="95000"/>
                <w14:lumOff w14:val="5000"/>
              </w14:schemeClr>
            </w14:solidFill>
          </w14:textFill>
        </w:rPr>
        <w:t>4.</w:t>
      </w:r>
      <w:r>
        <w:rPr>
          <w:rFonts w:hint="eastAsia" w:ascii="仿宋" w:hAnsi="仿宋" w:eastAsia="仿宋" w:cs="仿宋_GB2312"/>
          <w:kern w:val="0"/>
          <w:sz w:val="28"/>
          <w:szCs w:val="28"/>
        </w:rPr>
        <w:t>团体赛、混合团体赛</w:t>
      </w:r>
      <w:r>
        <w:rPr>
          <w:rFonts w:hint="eastAsia" w:ascii="仿宋" w:hAnsi="仿宋" w:eastAsia="仿宋"/>
          <w:color w:val="0D0D0D" w:themeColor="text1" w:themeTint="F2"/>
          <w:sz w:val="28"/>
          <w:szCs w:val="28"/>
          <w14:textFill>
            <w14:solidFill>
              <w14:schemeClr w14:val="tx1">
                <w14:lumMod w14:val="95000"/>
                <w14:lumOff w14:val="5000"/>
              </w14:schemeClr>
            </w14:solidFill>
          </w14:textFill>
        </w:rPr>
        <w:t>积分编排制</w:t>
      </w:r>
      <w:r>
        <w:rPr>
          <w:rFonts w:hint="eastAsia" w:ascii="仿宋" w:hAnsi="仿宋" w:eastAsia="仿宋" w:cs="仿宋_GB2312"/>
          <w:color w:val="000000"/>
          <w:sz w:val="28"/>
          <w:szCs w:val="28"/>
        </w:rPr>
        <w:t>名次依下列顺序（高者列前）判定</w:t>
      </w:r>
      <w:r>
        <w:rPr>
          <w:rFonts w:hint="eastAsia" w:ascii="仿宋" w:hAnsi="仿宋" w:eastAsia="仿宋" w:cs="仿宋_GB2312"/>
          <w:kern w:val="0"/>
          <w:sz w:val="28"/>
          <w:szCs w:val="28"/>
        </w:rPr>
        <w:t>：（1）场分；（2）团体对手分(所对弈过队的场分总和)；（3）全队总局分；（4）全队胜场；（5）全队胜局；（6）全队犯规；（7）前一轮名次。</w:t>
      </w:r>
    </w:p>
    <w:p w14:paraId="5B830D4E">
      <w:pPr>
        <w:keepNext w:val="0"/>
        <w:keepLines w:val="0"/>
        <w:pageBreakBefore w:val="0"/>
        <w:widowControl w:val="0"/>
        <w:kinsoku/>
        <w:wordWrap/>
        <w:overflowPunct/>
        <w:topLinePunct w:val="0"/>
        <w:autoSpaceDE/>
        <w:autoSpaceDN/>
        <w:bidi w:val="0"/>
        <w:spacing w:line="540" w:lineRule="exact"/>
        <w:ind w:right="-67" w:rightChars="-32" w:firstLine="565" w:firstLineChars="202"/>
        <w:textAlignment w:val="auto"/>
        <w:rPr>
          <w:rFonts w:ascii="仿宋" w:hAnsi="仿宋" w:eastAsia="仿宋" w:cs="仿宋_GB2312"/>
          <w:kern w:val="0"/>
          <w:sz w:val="28"/>
          <w:szCs w:val="28"/>
        </w:rPr>
      </w:pPr>
      <w:r>
        <w:rPr>
          <w:rFonts w:hint="eastAsia" w:ascii="仿宋" w:hAnsi="仿宋" w:eastAsia="仿宋" w:cs="仿宋_GB2312"/>
          <w:kern w:val="0"/>
          <w:sz w:val="28"/>
          <w:szCs w:val="28"/>
        </w:rPr>
        <w:t>（六）各小项参赛少于2个参赛单位3人（队），均不安排比赛。</w:t>
      </w:r>
    </w:p>
    <w:p w14:paraId="07E3DE68">
      <w:pPr>
        <w:keepNext w:val="0"/>
        <w:keepLines w:val="0"/>
        <w:pageBreakBefore w:val="0"/>
        <w:widowControl w:val="0"/>
        <w:kinsoku/>
        <w:wordWrap/>
        <w:overflowPunct/>
        <w:topLinePunct w:val="0"/>
        <w:autoSpaceDE/>
        <w:autoSpaceDN/>
        <w:bidi w:val="0"/>
        <w:spacing w:line="540" w:lineRule="exact"/>
        <w:ind w:right="-67" w:rightChars="-32" w:firstLine="565" w:firstLineChars="202"/>
        <w:textAlignment w:val="auto"/>
        <w:rPr>
          <w:rFonts w:ascii="仿宋" w:hAnsi="仿宋" w:eastAsia="仿宋" w:cs="仿宋_GB2312"/>
          <w:kern w:val="0"/>
          <w:sz w:val="28"/>
          <w:szCs w:val="28"/>
        </w:rPr>
      </w:pPr>
      <w:r>
        <w:rPr>
          <w:rFonts w:hint="eastAsia" w:ascii="仿宋" w:hAnsi="仿宋" w:eastAsia="仿宋" w:cs="仿宋_GB2312"/>
          <w:kern w:val="0"/>
          <w:sz w:val="28"/>
          <w:szCs w:val="28"/>
        </w:rPr>
        <w:t>（七）未尽事宜以比赛补充通知细则为准。</w:t>
      </w:r>
    </w:p>
    <w:p w14:paraId="51C5BEE3">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_GB2312"/>
          <w:b/>
          <w:bCs/>
          <w:sz w:val="28"/>
          <w:szCs w:val="28"/>
        </w:rPr>
      </w:pPr>
      <w:r>
        <w:rPr>
          <w:rFonts w:hint="eastAsia" w:ascii="仿宋" w:hAnsi="仿宋" w:eastAsia="仿宋" w:cs="仿宋_GB2312"/>
          <w:b/>
          <w:bCs/>
          <w:sz w:val="28"/>
          <w:szCs w:val="28"/>
        </w:rPr>
        <w:t>十一、录取名次、计牌计分和奖励办法</w:t>
      </w:r>
    </w:p>
    <w:p w14:paraId="33719688">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（一）各组别</w:t>
      </w:r>
      <w:r>
        <w:rPr>
          <w:rFonts w:hint="eastAsia" w:ascii="仿宋" w:hAnsi="仿宋" w:eastAsia="仿宋" w:cs="仿宋_GB2312"/>
          <w:bCs/>
          <w:sz w:val="28"/>
          <w:szCs w:val="28"/>
        </w:rPr>
        <w:t>录取前八名，不足</w:t>
      </w:r>
      <w:r>
        <w:rPr>
          <w:rFonts w:ascii="仿宋" w:hAnsi="仿宋" w:eastAsia="仿宋" w:cs="仿宋_GB2312"/>
          <w:bCs/>
          <w:sz w:val="28"/>
          <w:szCs w:val="28"/>
        </w:rPr>
        <w:t>8</w:t>
      </w:r>
      <w:r>
        <w:rPr>
          <w:rFonts w:hint="eastAsia" w:ascii="仿宋" w:hAnsi="仿宋" w:eastAsia="仿宋" w:cs="仿宋_GB2312"/>
          <w:bCs/>
          <w:sz w:val="28"/>
          <w:szCs w:val="28"/>
        </w:rPr>
        <w:t>名</w:t>
      </w:r>
      <w:r>
        <w:rPr>
          <w:rFonts w:ascii="仿宋" w:hAnsi="仿宋" w:eastAsia="仿宋" w:cs="仿宋_GB2312"/>
          <w:bCs/>
          <w:sz w:val="28"/>
          <w:szCs w:val="28"/>
        </w:rPr>
        <w:t>运动员</w:t>
      </w:r>
      <w:r>
        <w:rPr>
          <w:rFonts w:hint="eastAsia" w:ascii="仿宋" w:hAnsi="仿宋" w:eastAsia="仿宋" w:cs="仿宋_GB2312"/>
          <w:bCs/>
          <w:sz w:val="28"/>
          <w:szCs w:val="28"/>
        </w:rPr>
        <w:t>参赛的，则按实际参赛人数录取名次。</w:t>
      </w:r>
    </w:p>
    <w:p w14:paraId="2D501101">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bCs/>
          <w:spacing w:val="-4"/>
          <w:sz w:val="28"/>
          <w:szCs w:val="28"/>
        </w:rPr>
      </w:pPr>
      <w:r>
        <w:rPr>
          <w:rFonts w:hint="eastAsia" w:ascii="仿宋" w:hAnsi="仿宋" w:eastAsia="仿宋" w:cs="仿宋_GB2312"/>
          <w:sz w:val="28"/>
          <w:szCs w:val="28"/>
        </w:rPr>
        <w:t>（二）</w:t>
      </w:r>
      <w:r>
        <w:rPr>
          <w:rFonts w:hint="eastAsia" w:ascii="仿宋" w:hAnsi="仿宋" w:eastAsia="仿宋" w:cs="仿宋_GB2312"/>
          <w:bCs/>
          <w:sz w:val="28"/>
          <w:szCs w:val="28"/>
        </w:rPr>
        <w:t>前三名依次按</w:t>
      </w:r>
      <w:r>
        <w:rPr>
          <w:rFonts w:ascii="仿宋" w:hAnsi="仿宋" w:eastAsia="仿宋" w:cs="仿宋_GB2312"/>
          <w:bCs/>
          <w:sz w:val="28"/>
          <w:szCs w:val="28"/>
        </w:rPr>
        <w:t>1</w:t>
      </w:r>
      <w:r>
        <w:rPr>
          <w:rFonts w:hint="eastAsia" w:ascii="仿宋" w:hAnsi="仿宋" w:eastAsia="仿宋" w:cs="仿宋_GB2312"/>
          <w:bCs/>
          <w:sz w:val="28"/>
          <w:szCs w:val="28"/>
        </w:rPr>
        <w:t>金、</w:t>
      </w:r>
      <w:r>
        <w:rPr>
          <w:rFonts w:ascii="仿宋" w:hAnsi="仿宋" w:eastAsia="仿宋" w:cs="仿宋_GB2312"/>
          <w:bCs/>
          <w:sz w:val="28"/>
          <w:szCs w:val="28"/>
        </w:rPr>
        <w:t>1</w:t>
      </w:r>
      <w:r>
        <w:rPr>
          <w:rFonts w:hint="eastAsia" w:ascii="仿宋" w:hAnsi="仿宋" w:eastAsia="仿宋" w:cs="仿宋_GB2312"/>
          <w:bCs/>
          <w:sz w:val="28"/>
          <w:szCs w:val="28"/>
        </w:rPr>
        <w:t>银、</w:t>
      </w:r>
      <w:r>
        <w:rPr>
          <w:rFonts w:ascii="仿宋" w:hAnsi="仿宋" w:eastAsia="仿宋" w:cs="仿宋_GB2312"/>
          <w:bCs/>
          <w:sz w:val="28"/>
          <w:szCs w:val="28"/>
        </w:rPr>
        <w:t>1</w:t>
      </w:r>
      <w:r>
        <w:rPr>
          <w:rFonts w:hint="eastAsia" w:ascii="仿宋" w:hAnsi="仿宋" w:eastAsia="仿宋" w:cs="仿宋_GB2312"/>
          <w:bCs/>
          <w:sz w:val="28"/>
          <w:szCs w:val="28"/>
        </w:rPr>
        <w:t>铜计牌，前八名依次按</w:t>
      </w:r>
      <w:r>
        <w:rPr>
          <w:rFonts w:ascii="仿宋" w:hAnsi="仿宋" w:eastAsia="仿宋" w:cs="仿宋_GB2312"/>
          <w:bCs/>
          <w:sz w:val="28"/>
          <w:szCs w:val="28"/>
        </w:rPr>
        <w:t>11</w:t>
      </w:r>
      <w:r>
        <w:rPr>
          <w:rFonts w:hint="eastAsia" w:ascii="仿宋" w:hAnsi="仿宋" w:eastAsia="仿宋" w:cs="仿宋_GB2312"/>
          <w:bCs/>
          <w:sz w:val="28"/>
          <w:szCs w:val="28"/>
        </w:rPr>
        <w:t>、</w:t>
      </w:r>
      <w:r>
        <w:rPr>
          <w:rFonts w:ascii="仿宋" w:hAnsi="仿宋" w:eastAsia="仿宋" w:cs="仿宋_GB2312"/>
          <w:bCs/>
          <w:sz w:val="28"/>
          <w:szCs w:val="28"/>
        </w:rPr>
        <w:t>9</w:t>
      </w:r>
      <w:r>
        <w:rPr>
          <w:rFonts w:hint="eastAsia" w:ascii="仿宋" w:hAnsi="仿宋" w:eastAsia="仿宋" w:cs="仿宋_GB2312"/>
          <w:bCs/>
          <w:sz w:val="28"/>
          <w:szCs w:val="28"/>
        </w:rPr>
        <w:t>、</w:t>
      </w:r>
      <w:r>
        <w:rPr>
          <w:rFonts w:ascii="仿宋" w:hAnsi="仿宋" w:eastAsia="仿宋" w:cs="仿宋_GB2312"/>
          <w:bCs/>
          <w:sz w:val="28"/>
          <w:szCs w:val="28"/>
        </w:rPr>
        <w:t>8</w:t>
      </w:r>
      <w:r>
        <w:rPr>
          <w:rFonts w:hint="eastAsia" w:ascii="仿宋" w:hAnsi="仿宋" w:eastAsia="仿宋" w:cs="仿宋_GB2312"/>
          <w:bCs/>
          <w:sz w:val="28"/>
          <w:szCs w:val="28"/>
        </w:rPr>
        <w:t>、</w:t>
      </w:r>
      <w:r>
        <w:rPr>
          <w:rFonts w:ascii="仿宋" w:hAnsi="仿宋" w:eastAsia="仿宋" w:cs="仿宋_GB2312"/>
          <w:bCs/>
          <w:sz w:val="28"/>
          <w:szCs w:val="28"/>
        </w:rPr>
        <w:t>7</w:t>
      </w:r>
      <w:r>
        <w:rPr>
          <w:rFonts w:hint="eastAsia" w:ascii="仿宋" w:hAnsi="仿宋" w:eastAsia="仿宋" w:cs="仿宋_GB2312"/>
          <w:bCs/>
          <w:sz w:val="28"/>
          <w:szCs w:val="28"/>
        </w:rPr>
        <w:t>、</w:t>
      </w:r>
      <w:r>
        <w:rPr>
          <w:rFonts w:ascii="仿宋" w:hAnsi="仿宋" w:eastAsia="仿宋" w:cs="仿宋_GB2312"/>
          <w:bCs/>
          <w:sz w:val="28"/>
          <w:szCs w:val="28"/>
        </w:rPr>
        <w:t>6</w:t>
      </w:r>
      <w:r>
        <w:rPr>
          <w:rFonts w:hint="eastAsia" w:ascii="仿宋" w:hAnsi="仿宋" w:eastAsia="仿宋" w:cs="仿宋_GB2312"/>
          <w:bCs/>
          <w:sz w:val="28"/>
          <w:szCs w:val="28"/>
        </w:rPr>
        <w:t>、</w:t>
      </w:r>
      <w:r>
        <w:rPr>
          <w:rFonts w:ascii="仿宋" w:hAnsi="仿宋" w:eastAsia="仿宋" w:cs="仿宋_GB2312"/>
          <w:bCs/>
          <w:sz w:val="28"/>
          <w:szCs w:val="28"/>
        </w:rPr>
        <w:t>5</w:t>
      </w:r>
      <w:r>
        <w:rPr>
          <w:rFonts w:hint="eastAsia" w:ascii="仿宋" w:hAnsi="仿宋" w:eastAsia="仿宋" w:cs="仿宋_GB2312"/>
          <w:bCs/>
          <w:sz w:val="28"/>
          <w:szCs w:val="28"/>
        </w:rPr>
        <w:t>、</w:t>
      </w:r>
      <w:r>
        <w:rPr>
          <w:rFonts w:ascii="仿宋" w:hAnsi="仿宋" w:eastAsia="仿宋" w:cs="仿宋_GB2312"/>
          <w:bCs/>
          <w:sz w:val="28"/>
          <w:szCs w:val="28"/>
        </w:rPr>
        <w:t>4</w:t>
      </w:r>
      <w:r>
        <w:rPr>
          <w:rFonts w:hint="eastAsia" w:ascii="仿宋" w:hAnsi="仿宋" w:eastAsia="仿宋" w:cs="仿宋_GB2312"/>
          <w:bCs/>
          <w:sz w:val="28"/>
          <w:szCs w:val="28"/>
        </w:rPr>
        <w:t>、</w:t>
      </w:r>
      <w:r>
        <w:rPr>
          <w:rFonts w:ascii="仿宋" w:hAnsi="仿宋" w:eastAsia="仿宋" w:cs="仿宋_GB2312"/>
          <w:bCs/>
          <w:sz w:val="28"/>
          <w:szCs w:val="28"/>
        </w:rPr>
        <w:t>3</w:t>
      </w:r>
      <w:r>
        <w:rPr>
          <w:rFonts w:hint="eastAsia" w:ascii="仿宋" w:hAnsi="仿宋" w:eastAsia="仿宋" w:cs="仿宋_GB2312"/>
          <w:bCs/>
          <w:sz w:val="28"/>
          <w:szCs w:val="28"/>
        </w:rPr>
        <w:t>计分；</w:t>
      </w:r>
    </w:p>
    <w:p w14:paraId="159A53A8">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（三）开展“体育道德风尚奖”评选活动，按照本届运动会竞赛规程总则的有关规定执行。</w:t>
      </w:r>
    </w:p>
    <w:p w14:paraId="13D38351">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_GB2312"/>
          <w:b/>
          <w:sz w:val="28"/>
          <w:szCs w:val="28"/>
        </w:rPr>
      </w:pPr>
      <w:r>
        <w:rPr>
          <w:rFonts w:hint="eastAsia" w:ascii="仿宋" w:hAnsi="仿宋" w:eastAsia="仿宋" w:cs="仿宋_GB2312"/>
          <w:b/>
          <w:sz w:val="28"/>
          <w:szCs w:val="28"/>
        </w:rPr>
        <w:t>十二、申诉和纪律</w:t>
      </w:r>
    </w:p>
    <w:p w14:paraId="403EF1CF">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spacing w:val="1"/>
          <w:sz w:val="28"/>
          <w:szCs w:val="28"/>
        </w:rPr>
      </w:pPr>
      <w:r>
        <w:rPr>
          <w:rFonts w:hint="eastAsia" w:ascii="仿宋" w:hAnsi="仿宋" w:eastAsia="仿宋" w:cs="仿宋"/>
          <w:sz w:val="28"/>
          <w:szCs w:val="28"/>
        </w:rPr>
        <w:t>（一）</w:t>
      </w:r>
      <w:r>
        <w:rPr>
          <w:rFonts w:hint="eastAsia" w:ascii="仿宋" w:hAnsi="仿宋" w:eastAsia="仿宋" w:cs="仿宋"/>
          <w:spacing w:val="1"/>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12C2E8A5">
      <w:pPr>
        <w:keepNext w:val="0"/>
        <w:keepLines w:val="0"/>
        <w:pageBreakBefore w:val="0"/>
        <w:widowControl w:val="0"/>
        <w:kinsoku/>
        <w:wordWrap/>
        <w:overflowPunct/>
        <w:topLinePunct w:val="0"/>
        <w:autoSpaceDE/>
        <w:autoSpaceDN/>
        <w:bidi w:val="0"/>
        <w:adjustRightInd w:val="0"/>
        <w:snapToGrid w:val="0"/>
        <w:spacing w:line="540" w:lineRule="exact"/>
        <w:ind w:firstLine="564" w:firstLineChars="200"/>
        <w:textAlignment w:val="auto"/>
        <w:rPr>
          <w:rFonts w:ascii="仿宋" w:hAnsi="仿宋" w:eastAsia="仿宋" w:cs="仿宋"/>
          <w:sz w:val="28"/>
          <w:szCs w:val="28"/>
        </w:rPr>
      </w:pPr>
      <w:r>
        <w:rPr>
          <w:rFonts w:hint="eastAsia" w:ascii="仿宋" w:hAnsi="仿宋" w:eastAsia="仿宋" w:cs="仿宋"/>
          <w:spacing w:val="1"/>
          <w:sz w:val="28"/>
          <w:szCs w:val="28"/>
        </w:rPr>
        <w:t>（二）关于申诉</w:t>
      </w:r>
      <w:r>
        <w:rPr>
          <w:rFonts w:hint="eastAsia" w:ascii="仿宋" w:hAnsi="仿宋" w:eastAsia="仿宋" w:cs="仿宋"/>
          <w:sz w:val="28"/>
          <w:szCs w:val="28"/>
        </w:rPr>
        <w:t>按照本届运动会《象棋比赛补充细则》中的有关规定执行。</w:t>
      </w:r>
    </w:p>
    <w:p w14:paraId="1364A7AB">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_GB2312"/>
          <w:b/>
          <w:sz w:val="28"/>
          <w:szCs w:val="28"/>
        </w:rPr>
      </w:pPr>
      <w:r>
        <w:rPr>
          <w:rFonts w:hint="eastAsia" w:ascii="仿宋" w:hAnsi="仿宋" w:eastAsia="仿宋" w:cs="仿宋_GB2312"/>
          <w:b/>
          <w:sz w:val="28"/>
          <w:szCs w:val="28"/>
        </w:rPr>
        <w:t>十三、裁判员和仲裁委员会</w:t>
      </w:r>
    </w:p>
    <w:p w14:paraId="44DE1107">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按照本届运动会竞赛规程总则的有关规定执行。</w:t>
      </w:r>
    </w:p>
    <w:p w14:paraId="17188609">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ascii="仿宋" w:hAnsi="仿宋" w:eastAsia="仿宋" w:cs="仿宋"/>
          <w:b/>
          <w:sz w:val="28"/>
          <w:szCs w:val="28"/>
        </w:rPr>
      </w:pPr>
      <w:r>
        <w:rPr>
          <w:rFonts w:hint="eastAsia" w:ascii="仿宋" w:hAnsi="仿宋" w:eastAsia="仿宋" w:cs="仿宋"/>
          <w:b/>
          <w:sz w:val="28"/>
          <w:szCs w:val="28"/>
        </w:rPr>
        <w:t>十四、其他</w:t>
      </w:r>
    </w:p>
    <w:p w14:paraId="55FFE6AD">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292DD6E7">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rPr>
        <w:t>（二）参赛单位运动员、教练员应知晓体育竞赛的相关风险，确保自己身体状况符合参赛要求，自行承担非承办单位</w:t>
      </w:r>
      <w:bookmarkStart w:id="0" w:name="_GoBack"/>
      <w:bookmarkEnd w:id="0"/>
      <w:r>
        <w:rPr>
          <w:rFonts w:hint="eastAsia" w:ascii="仿宋" w:hAnsi="仿宋" w:eastAsia="仿宋" w:cs="仿宋"/>
          <w:color w:val="000000"/>
          <w:sz w:val="28"/>
          <w:szCs w:val="28"/>
        </w:rPr>
        <w:t>故意或重大过失导致的伤害。</w:t>
      </w:r>
    </w:p>
    <w:p w14:paraId="250C470C">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rPr>
        <w:t>（三）未尽事宜，另行通知。</w:t>
      </w:r>
    </w:p>
    <w:p w14:paraId="196DA9B4">
      <w:pPr>
        <w:adjustRightInd w:val="0"/>
        <w:snapToGrid w:val="0"/>
        <w:spacing w:line="540" w:lineRule="atLeast"/>
        <w:ind w:firstLine="560" w:firstLineChars="200"/>
        <w:rPr>
          <w:rFonts w:ascii="仿宋" w:hAnsi="仿宋" w:eastAsia="仿宋" w:cs="仿宋"/>
          <w:color w:val="000000"/>
          <w:sz w:val="28"/>
          <w:szCs w:val="28"/>
        </w:rPr>
      </w:pPr>
    </w:p>
    <w:p w14:paraId="6B3B754B">
      <w:pPr>
        <w:adjustRightInd w:val="0"/>
        <w:snapToGrid w:val="0"/>
        <w:spacing w:line="440" w:lineRule="exact"/>
        <w:ind w:firstLine="420" w:firstLineChars="20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7357669"/>
    </w:sdtPr>
    <w:sdtContent>
      <w:p w14:paraId="5CCFE114">
        <w:pPr>
          <w:pStyle w:val="4"/>
          <w:jc w:val="center"/>
        </w:pPr>
        <w:r>
          <w:fldChar w:fldCharType="begin"/>
        </w:r>
        <w:r>
          <w:instrText xml:space="preserve">PAGE   \* MERGEFORMAT</w:instrText>
        </w:r>
        <w:r>
          <w:fldChar w:fldCharType="separate"/>
        </w:r>
        <w:r>
          <w:rPr>
            <w:lang w:val="zh-CN"/>
          </w:rPr>
          <w:t>2</w:t>
        </w:r>
        <w:r>
          <w:fldChar w:fldCharType="end"/>
        </w:r>
      </w:p>
    </w:sdtContent>
  </w:sdt>
  <w:p w14:paraId="327E6852">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F4F"/>
    <w:rsid w:val="00002619"/>
    <w:rsid w:val="000621DA"/>
    <w:rsid w:val="00062AAF"/>
    <w:rsid w:val="00063690"/>
    <w:rsid w:val="0012043C"/>
    <w:rsid w:val="00135E6C"/>
    <w:rsid w:val="00140D55"/>
    <w:rsid w:val="00142DAD"/>
    <w:rsid w:val="00153040"/>
    <w:rsid w:val="00163670"/>
    <w:rsid w:val="00171632"/>
    <w:rsid w:val="001A69F7"/>
    <w:rsid w:val="001A780A"/>
    <w:rsid w:val="001B26E6"/>
    <w:rsid w:val="001C79A7"/>
    <w:rsid w:val="00204FDC"/>
    <w:rsid w:val="00292E90"/>
    <w:rsid w:val="002A37EC"/>
    <w:rsid w:val="002A7CAB"/>
    <w:rsid w:val="002B01A1"/>
    <w:rsid w:val="002C02B5"/>
    <w:rsid w:val="00317DA1"/>
    <w:rsid w:val="0033039F"/>
    <w:rsid w:val="003361A9"/>
    <w:rsid w:val="00347309"/>
    <w:rsid w:val="00361AC9"/>
    <w:rsid w:val="003E3043"/>
    <w:rsid w:val="00475842"/>
    <w:rsid w:val="004A15DB"/>
    <w:rsid w:val="004B6163"/>
    <w:rsid w:val="004F3BE0"/>
    <w:rsid w:val="004F7462"/>
    <w:rsid w:val="00502B43"/>
    <w:rsid w:val="005663FF"/>
    <w:rsid w:val="0056790C"/>
    <w:rsid w:val="0057346E"/>
    <w:rsid w:val="005816DF"/>
    <w:rsid w:val="00581A20"/>
    <w:rsid w:val="005A44B2"/>
    <w:rsid w:val="005D633C"/>
    <w:rsid w:val="00612AAA"/>
    <w:rsid w:val="006761EA"/>
    <w:rsid w:val="006D2A35"/>
    <w:rsid w:val="006E2CB9"/>
    <w:rsid w:val="00705C16"/>
    <w:rsid w:val="007160BD"/>
    <w:rsid w:val="007171D2"/>
    <w:rsid w:val="00727387"/>
    <w:rsid w:val="00731017"/>
    <w:rsid w:val="007315E7"/>
    <w:rsid w:val="00756D7E"/>
    <w:rsid w:val="00794DF3"/>
    <w:rsid w:val="007A09D5"/>
    <w:rsid w:val="007B5263"/>
    <w:rsid w:val="007E6623"/>
    <w:rsid w:val="007F03F6"/>
    <w:rsid w:val="00821D1A"/>
    <w:rsid w:val="00841606"/>
    <w:rsid w:val="008475DB"/>
    <w:rsid w:val="0087151B"/>
    <w:rsid w:val="008C0053"/>
    <w:rsid w:val="008C0C37"/>
    <w:rsid w:val="008F6B2F"/>
    <w:rsid w:val="0092142D"/>
    <w:rsid w:val="0092588F"/>
    <w:rsid w:val="00963F19"/>
    <w:rsid w:val="0096471A"/>
    <w:rsid w:val="009707EC"/>
    <w:rsid w:val="00A21563"/>
    <w:rsid w:val="00A3544E"/>
    <w:rsid w:val="00A54721"/>
    <w:rsid w:val="00A74550"/>
    <w:rsid w:val="00AB413B"/>
    <w:rsid w:val="00AB42EC"/>
    <w:rsid w:val="00AE4E93"/>
    <w:rsid w:val="00AE74E8"/>
    <w:rsid w:val="00B407CB"/>
    <w:rsid w:val="00B46FE7"/>
    <w:rsid w:val="00B66C8D"/>
    <w:rsid w:val="00B95CDE"/>
    <w:rsid w:val="00BB02B3"/>
    <w:rsid w:val="00BD222A"/>
    <w:rsid w:val="00C16B4B"/>
    <w:rsid w:val="00C21440"/>
    <w:rsid w:val="00C2210B"/>
    <w:rsid w:val="00C61118"/>
    <w:rsid w:val="00CE3726"/>
    <w:rsid w:val="00D037AB"/>
    <w:rsid w:val="00D119C6"/>
    <w:rsid w:val="00D12EDA"/>
    <w:rsid w:val="00D6304D"/>
    <w:rsid w:val="00DA2989"/>
    <w:rsid w:val="00DE010B"/>
    <w:rsid w:val="00E23588"/>
    <w:rsid w:val="00E42CB8"/>
    <w:rsid w:val="00E5267F"/>
    <w:rsid w:val="00E613B3"/>
    <w:rsid w:val="00E90B5B"/>
    <w:rsid w:val="00EA4BED"/>
    <w:rsid w:val="00EB484A"/>
    <w:rsid w:val="00EC3D6E"/>
    <w:rsid w:val="00ED2055"/>
    <w:rsid w:val="00F1116F"/>
    <w:rsid w:val="00F11F4F"/>
    <w:rsid w:val="00F120FA"/>
    <w:rsid w:val="00F37DCE"/>
    <w:rsid w:val="00F939F6"/>
    <w:rsid w:val="00FC760A"/>
    <w:rsid w:val="00FD0902"/>
    <w:rsid w:val="0A0E66E8"/>
    <w:rsid w:val="0CD94264"/>
    <w:rsid w:val="0D3936F0"/>
    <w:rsid w:val="0F634E4C"/>
    <w:rsid w:val="291C6972"/>
    <w:rsid w:val="2998661D"/>
    <w:rsid w:val="2A9D6C64"/>
    <w:rsid w:val="2AB56AA7"/>
    <w:rsid w:val="2FEA56E8"/>
    <w:rsid w:val="455C6FFE"/>
    <w:rsid w:val="4BEF1656"/>
    <w:rsid w:val="53A96FD3"/>
    <w:rsid w:val="548F5BE0"/>
    <w:rsid w:val="5D323087"/>
    <w:rsid w:val="6247128E"/>
    <w:rsid w:val="625A71D6"/>
    <w:rsid w:val="643A2F16"/>
    <w:rsid w:val="649A056B"/>
    <w:rsid w:val="654841ED"/>
    <w:rsid w:val="6B464047"/>
    <w:rsid w:val="70D43CEC"/>
    <w:rsid w:val="71484A4A"/>
    <w:rsid w:val="787011FC"/>
    <w:rsid w:val="7BEF0494"/>
    <w:rsid w:val="7D9215F0"/>
    <w:rsid w:val="7F65177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character" w:customStyle="1" w:styleId="11">
    <w:name w:val="页眉 字符"/>
    <w:basedOn w:val="8"/>
    <w:link w:val="5"/>
    <w:qFormat/>
    <w:uiPriority w:val="99"/>
    <w:rPr>
      <w:rFonts w:ascii="Calibri" w:hAnsi="Calibri" w:eastAsia="宋体" w:cs="Times New Roman"/>
      <w:sz w:val="18"/>
      <w:szCs w:val="18"/>
    </w:rPr>
  </w:style>
  <w:style w:type="character" w:customStyle="1" w:styleId="12">
    <w:name w:val="页脚 字符"/>
    <w:basedOn w:val="8"/>
    <w:link w:val="4"/>
    <w:qFormat/>
    <w:uiPriority w:val="99"/>
    <w:rPr>
      <w:rFonts w:ascii="Calibri" w:hAnsi="Calibri"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8"/>
    <w:link w:val="3"/>
    <w:semiHidden/>
    <w:qFormat/>
    <w:uiPriority w:val="99"/>
    <w:rPr>
      <w:rFonts w:ascii="Calibri" w:hAnsi="Calibri" w:eastAsia="宋体" w:cs="Times New Roman"/>
      <w:kern w:val="2"/>
      <w:sz w:val="18"/>
      <w:szCs w:val="18"/>
    </w:rPr>
  </w:style>
  <w:style w:type="character" w:customStyle="1" w:styleId="15">
    <w:name w:val="批注文字 字符"/>
    <w:basedOn w:val="8"/>
    <w:link w:val="2"/>
    <w:semiHidden/>
    <w:qFormat/>
    <w:uiPriority w:val="99"/>
    <w:rPr>
      <w:rFonts w:ascii="Calibri" w:hAnsi="Calibri" w:eastAsia="宋体" w:cs="Times New Roman"/>
      <w:kern w:val="2"/>
      <w:sz w:val="21"/>
      <w:szCs w:val="24"/>
    </w:rPr>
  </w:style>
  <w:style w:type="character" w:customStyle="1" w:styleId="16">
    <w:name w:val="批注主题 字符"/>
    <w:basedOn w:val="15"/>
    <w:link w:val="6"/>
    <w:qFormat/>
    <w:uiPriority w:val="0"/>
    <w:rPr>
      <w:rFonts w:ascii="Calibri" w:hAnsi="Calibri" w:eastAsia="宋体" w:cs="Times New Roman"/>
      <w:kern w:val="2"/>
      <w:sz w:val="21"/>
      <w:szCs w:val="24"/>
    </w:rPr>
  </w:style>
  <w:style w:type="paragraph" w:customStyle="1" w:styleId="17">
    <w:name w:val="修订1"/>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2172</Words>
  <Characters>2285</Characters>
  <Lines>17</Lines>
  <Paragraphs>4</Paragraphs>
  <TotalTime>8</TotalTime>
  <ScaleCrop>false</ScaleCrop>
  <LinksUpToDate>false</LinksUpToDate>
  <CharactersWithSpaces>2309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2022-01-24T10:26:00Z</dcterms:created>
  <dc:creator>微软中国</dc:creator>
  <cp:lastModifiedBy>Xiangyou</cp:lastModifiedBy>
  <cp:lastPrinted>2022-07-07T10:52:00Z</cp:lastPrinted>
  <dcterms:modified xsi:type="dcterms:W3CDTF">2026-05-07T07:35:22Z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F9E947FD92A04C4EA42F317750B4F054_13</vt:lpwstr>
  </property>
  <property fmtid="{D5CDD505-2E9C-101B-9397-08002B2CF9AE}" pid="4" name="KSOTemplateDocerSaveRecord">
    <vt:lpwstr>eyJoZGlkIjoiNjA2NmNjZDM3NzUzZGJhY2I3OTc1NzBkNDI5NDdhNTkiLCJ1c2VySWQiOiIxNDQ2MzUxODYzIn0=</vt:lpwstr>
  </property>
</Properties>
</file>