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EC4D6B">
      <w:pPr>
        <w:adjustRightInd w:val="0"/>
        <w:snapToGrid w:val="0"/>
        <w:spacing w:line="540" w:lineRule="exact"/>
        <w:jc w:val="center"/>
        <w:rPr>
          <w:rFonts w:ascii="宋体" w:hAnsi="宋体" w:cs="宋体"/>
          <w:b/>
          <w:bCs/>
          <w:sz w:val="36"/>
          <w:szCs w:val="36"/>
        </w:rPr>
      </w:pPr>
      <w:r>
        <w:rPr>
          <w:rFonts w:hint="eastAsia" w:ascii="宋体" w:hAnsi="宋体" w:cs="宋体"/>
          <w:b/>
          <w:bCs/>
          <w:sz w:val="36"/>
          <w:szCs w:val="36"/>
        </w:rPr>
        <w:t>上海市第十八届运动会田径比赛（青少年组）</w:t>
      </w:r>
    </w:p>
    <w:p w14:paraId="3E62A443">
      <w:pPr>
        <w:snapToGrid w:val="0"/>
        <w:spacing w:line="540" w:lineRule="exact"/>
        <w:jc w:val="center"/>
        <w:rPr>
          <w:rFonts w:ascii="宋体" w:hAnsi="宋体" w:cs="宋体"/>
          <w:b/>
          <w:bCs/>
          <w:sz w:val="36"/>
          <w:szCs w:val="36"/>
        </w:rPr>
      </w:pPr>
      <w:r>
        <w:rPr>
          <w:rFonts w:hint="eastAsia" w:ascii="宋体" w:hAnsi="宋体" w:cs="宋体"/>
          <w:b/>
          <w:bCs/>
          <w:sz w:val="36"/>
          <w:szCs w:val="36"/>
        </w:rPr>
        <w:t>竞赛规程</w:t>
      </w:r>
    </w:p>
    <w:p w14:paraId="04E86CB0">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一、主办单位：</w:t>
      </w:r>
      <w:r>
        <w:rPr>
          <w:rFonts w:hint="eastAsia" w:ascii="仿宋" w:hAnsi="仿宋" w:eastAsia="仿宋" w:cs="仿宋"/>
          <w:sz w:val="28"/>
          <w:szCs w:val="28"/>
        </w:rPr>
        <w:t>上海市体育局、上海市教育委员会</w:t>
      </w:r>
    </w:p>
    <w:p w14:paraId="653AE0E5">
      <w:pPr>
        <w:autoSpaceDE w:val="0"/>
        <w:adjustRightInd w:val="0"/>
        <w:snapToGrid w:val="0"/>
        <w:spacing w:line="540" w:lineRule="exact"/>
        <w:ind w:left="2527" w:leftChars="266" w:hanging="1968" w:hangingChars="700"/>
        <w:rPr>
          <w:rFonts w:ascii="仿宋_GB2312" w:eastAsia="仿宋_GB2312" w:cs="仿宋_GB2312"/>
          <w:sz w:val="28"/>
          <w:szCs w:val="28"/>
          <w:lang w:bidi="ar"/>
        </w:rPr>
      </w:pPr>
      <w:r>
        <w:rPr>
          <w:rFonts w:hint="eastAsia" w:ascii="仿宋" w:hAnsi="仿宋" w:eastAsia="仿宋" w:cs="仿宋"/>
          <w:b/>
          <w:sz w:val="28"/>
          <w:szCs w:val="28"/>
        </w:rPr>
        <w:t>二、承办单位：</w:t>
      </w:r>
      <w:r>
        <w:rPr>
          <w:rFonts w:hint="eastAsia" w:ascii="仿宋" w:hAnsi="仿宋" w:eastAsia="仿宋"/>
          <w:sz w:val="28"/>
          <w:szCs w:val="28"/>
        </w:rPr>
        <w:t>上海市闵行区体育局、上海市第二体育运动学校（上</w:t>
      </w:r>
      <w:r>
        <w:rPr>
          <w:rFonts w:hint="eastAsia" w:ascii="仿宋" w:hAnsi="仿宋" w:eastAsia="仿宋" w:cs="Times New Roman"/>
          <w:kern w:val="2"/>
          <w:sz w:val="28"/>
          <w:szCs w:val="28"/>
          <w:lang w:val="en-US" w:eastAsia="zh-CN" w:bidi="ar-SA"/>
        </w:rPr>
        <w:t>海市体育中学）、上海市竞技体育训练管理中心田径运动中心、上海市田径协会</w:t>
      </w:r>
    </w:p>
    <w:p w14:paraId="76BAB8D4">
      <w:pPr>
        <w:adjustRightInd w:val="0"/>
        <w:snapToGrid w:val="0"/>
        <w:spacing w:line="540" w:lineRule="exact"/>
        <w:ind w:left="2531" w:leftChars="268" w:hanging="1968" w:hangingChars="700"/>
        <w:rPr>
          <w:rFonts w:ascii="仿宋" w:hAnsi="仿宋" w:eastAsia="仿宋"/>
          <w:b/>
          <w:bCs/>
          <w:sz w:val="28"/>
          <w:szCs w:val="28"/>
        </w:rPr>
      </w:pPr>
      <w:r>
        <w:rPr>
          <w:rFonts w:hint="eastAsia" w:ascii="仿宋" w:hAnsi="仿宋" w:eastAsia="仿宋" w:cs="仿宋"/>
          <w:b/>
          <w:sz w:val="28"/>
          <w:szCs w:val="28"/>
        </w:rPr>
        <w:t>三、协办单位：</w:t>
      </w:r>
      <w:r>
        <w:rPr>
          <w:rFonts w:hint="eastAsia" w:ascii="仿宋" w:hAnsi="仿宋" w:eastAsia="仿宋"/>
          <w:sz w:val="28"/>
          <w:szCs w:val="28"/>
        </w:rPr>
        <w:t>闵行区体育场</w:t>
      </w:r>
    </w:p>
    <w:p w14:paraId="6E733100">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四、竞赛日期：</w:t>
      </w:r>
      <w:r>
        <w:rPr>
          <w:rFonts w:hint="eastAsia" w:ascii="仿宋" w:hAnsi="仿宋" w:eastAsia="仿宋"/>
          <w:sz w:val="28"/>
          <w:szCs w:val="28"/>
        </w:rPr>
        <w:t>待定</w:t>
      </w:r>
    </w:p>
    <w:p w14:paraId="72F63520">
      <w:pPr>
        <w:pStyle w:val="18"/>
        <w:adjustRightInd w:val="0"/>
        <w:snapToGrid w:val="0"/>
        <w:spacing w:line="540" w:lineRule="exact"/>
        <w:ind w:left="2527" w:leftChars="266" w:hanging="1968" w:hangingChars="700"/>
        <w:rPr>
          <w:rFonts w:ascii="仿宋" w:hAnsi="仿宋" w:eastAsia="仿宋"/>
          <w:sz w:val="28"/>
          <w:szCs w:val="28"/>
        </w:rPr>
      </w:pPr>
      <w:r>
        <w:rPr>
          <w:rFonts w:hint="eastAsia" w:ascii="仿宋" w:hAnsi="仿宋" w:eastAsia="仿宋" w:cs="仿宋"/>
          <w:b/>
          <w:sz w:val="28"/>
          <w:szCs w:val="28"/>
        </w:rPr>
        <w:t>五、竞赛地点：</w:t>
      </w:r>
      <w:r>
        <w:rPr>
          <w:rFonts w:hint="eastAsia" w:ascii="仿宋" w:hAnsi="仿宋" w:eastAsia="仿宋"/>
          <w:sz w:val="28"/>
          <w:szCs w:val="28"/>
        </w:rPr>
        <w:t>上海市第二体育运动学校（上海市体育中学）（莘东路589号）、闵行区体育场（莘东路540号）</w:t>
      </w:r>
    </w:p>
    <w:p w14:paraId="729DDC00">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bCs/>
          <w:sz w:val="28"/>
          <w:szCs w:val="28"/>
        </w:rPr>
        <w:t>六、参赛单位</w:t>
      </w:r>
      <w:r>
        <w:rPr>
          <w:rFonts w:hint="eastAsia" w:ascii="仿宋" w:hAnsi="仿宋" w:eastAsia="仿宋" w:cs="仿宋"/>
          <w:sz w:val="28"/>
          <w:szCs w:val="28"/>
        </w:rPr>
        <w:t>：本市各区</w:t>
      </w:r>
    </w:p>
    <w:p w14:paraId="2D0DDFC4">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七、年龄组别和小项设置</w:t>
      </w:r>
    </w:p>
    <w:tbl>
      <w:tblPr>
        <w:tblStyle w:val="10"/>
        <w:tblW w:w="980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44"/>
        <w:gridCol w:w="942"/>
        <w:gridCol w:w="709"/>
        <w:gridCol w:w="3691"/>
        <w:gridCol w:w="3814"/>
      </w:tblGrid>
      <w:tr w14:paraId="020F0E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6" w:hRule="atLeast"/>
          <w:jc w:val="center"/>
        </w:trPr>
        <w:tc>
          <w:tcPr>
            <w:tcW w:w="644" w:type="dxa"/>
            <w:tcBorders>
              <w:top w:val="single" w:color="000000" w:sz="6" w:space="0"/>
              <w:left w:val="single" w:color="000000" w:sz="6" w:space="0"/>
              <w:bottom w:val="nil"/>
              <w:right w:val="single" w:color="000000" w:sz="6" w:space="0"/>
            </w:tcBorders>
            <w:vAlign w:val="center"/>
          </w:tcPr>
          <w:p w14:paraId="084E2E1C">
            <w:pPr>
              <w:spacing w:line="320" w:lineRule="exact"/>
              <w:ind w:left="9"/>
              <w:jc w:val="center"/>
              <w:rPr>
                <w:rFonts w:ascii="仿宋" w:hAnsi="仿宋" w:eastAsia="仿宋" w:cs="仿宋"/>
                <w:szCs w:val="21"/>
              </w:rPr>
            </w:pPr>
            <w:r>
              <w:rPr>
                <w:rFonts w:hint="eastAsia" w:ascii="仿宋" w:hAnsi="仿宋" w:eastAsia="仿宋" w:cs="仿宋"/>
                <w:b/>
                <w:bCs/>
                <w:szCs w:val="21"/>
              </w:rPr>
              <w:t>组别</w:t>
            </w:r>
          </w:p>
        </w:tc>
        <w:tc>
          <w:tcPr>
            <w:tcW w:w="942" w:type="dxa"/>
            <w:tcBorders>
              <w:top w:val="single" w:color="000000" w:sz="6" w:space="0"/>
              <w:left w:val="single" w:color="000000" w:sz="6" w:space="0"/>
              <w:bottom w:val="nil"/>
              <w:right w:val="single" w:color="000000" w:sz="6" w:space="0"/>
            </w:tcBorders>
            <w:vAlign w:val="center"/>
          </w:tcPr>
          <w:p w14:paraId="3A4B9BB9">
            <w:pPr>
              <w:spacing w:line="320" w:lineRule="exact"/>
              <w:ind w:left="23"/>
              <w:jc w:val="center"/>
              <w:rPr>
                <w:rFonts w:ascii="仿宋" w:hAnsi="仿宋" w:eastAsia="仿宋" w:cs="仿宋"/>
                <w:szCs w:val="21"/>
              </w:rPr>
            </w:pPr>
            <w:r>
              <w:rPr>
                <w:rFonts w:hint="eastAsia" w:ascii="仿宋" w:hAnsi="仿宋" w:eastAsia="仿宋" w:cs="仿宋"/>
                <w:b/>
                <w:bCs/>
                <w:szCs w:val="21"/>
              </w:rPr>
              <w:t>年龄段</w:t>
            </w:r>
          </w:p>
        </w:tc>
        <w:tc>
          <w:tcPr>
            <w:tcW w:w="709" w:type="dxa"/>
            <w:tcBorders>
              <w:top w:val="single" w:color="000000" w:sz="6" w:space="0"/>
              <w:left w:val="single" w:color="000000" w:sz="6" w:space="0"/>
              <w:bottom w:val="nil"/>
              <w:right w:val="single" w:color="000000" w:sz="6" w:space="0"/>
            </w:tcBorders>
            <w:vAlign w:val="center"/>
          </w:tcPr>
          <w:p w14:paraId="01A1E0DA">
            <w:pPr>
              <w:spacing w:line="320" w:lineRule="exact"/>
              <w:ind w:left="49"/>
              <w:jc w:val="center"/>
              <w:rPr>
                <w:rFonts w:ascii="仿宋" w:hAnsi="仿宋" w:eastAsia="仿宋" w:cs="仿宋"/>
                <w:szCs w:val="21"/>
              </w:rPr>
            </w:pPr>
            <w:r>
              <w:rPr>
                <w:rFonts w:hint="eastAsia" w:ascii="仿宋" w:hAnsi="仿宋" w:eastAsia="仿宋" w:cs="仿宋"/>
                <w:b/>
                <w:bCs/>
                <w:szCs w:val="21"/>
              </w:rPr>
              <w:t>设项数</w:t>
            </w:r>
          </w:p>
        </w:tc>
        <w:tc>
          <w:tcPr>
            <w:tcW w:w="3691" w:type="dxa"/>
            <w:tcBorders>
              <w:top w:val="single" w:color="000000" w:sz="6" w:space="0"/>
              <w:left w:val="single" w:color="000000" w:sz="6" w:space="0"/>
              <w:bottom w:val="single" w:color="000000" w:sz="6" w:space="0"/>
              <w:right w:val="single" w:color="000000" w:sz="6" w:space="0"/>
            </w:tcBorders>
            <w:vAlign w:val="center"/>
          </w:tcPr>
          <w:p w14:paraId="3A3BBA1A">
            <w:pPr>
              <w:spacing w:line="320" w:lineRule="exact"/>
              <w:ind w:left="9"/>
              <w:jc w:val="center"/>
              <w:rPr>
                <w:rFonts w:ascii="仿宋" w:hAnsi="仿宋" w:eastAsia="仿宋" w:cs="仿宋"/>
                <w:b/>
                <w:bCs/>
                <w:szCs w:val="21"/>
              </w:rPr>
            </w:pPr>
            <w:r>
              <w:rPr>
                <w:rFonts w:hint="eastAsia" w:ascii="仿宋" w:hAnsi="仿宋" w:eastAsia="仿宋" w:cs="仿宋"/>
                <w:b/>
                <w:bCs/>
                <w:szCs w:val="21"/>
              </w:rPr>
              <w:t>男子</w:t>
            </w:r>
          </w:p>
        </w:tc>
        <w:tc>
          <w:tcPr>
            <w:tcW w:w="3814" w:type="dxa"/>
            <w:tcBorders>
              <w:top w:val="single" w:color="000000" w:sz="6" w:space="0"/>
              <w:left w:val="single" w:color="000000" w:sz="6" w:space="0"/>
              <w:bottom w:val="single" w:color="000000" w:sz="6" w:space="0"/>
              <w:right w:val="single" w:color="000000" w:sz="6" w:space="0"/>
            </w:tcBorders>
            <w:vAlign w:val="center"/>
          </w:tcPr>
          <w:p w14:paraId="205F460C">
            <w:pPr>
              <w:spacing w:line="320" w:lineRule="exact"/>
              <w:ind w:left="9"/>
              <w:jc w:val="center"/>
              <w:rPr>
                <w:rFonts w:ascii="仿宋" w:hAnsi="仿宋" w:eastAsia="仿宋" w:cs="仿宋"/>
                <w:b/>
                <w:bCs/>
                <w:szCs w:val="21"/>
              </w:rPr>
            </w:pPr>
            <w:r>
              <w:rPr>
                <w:rFonts w:hint="eastAsia" w:ascii="仿宋" w:hAnsi="仿宋" w:eastAsia="仿宋" w:cs="仿宋"/>
                <w:b/>
                <w:bCs/>
                <w:szCs w:val="21"/>
              </w:rPr>
              <w:t>女子</w:t>
            </w:r>
          </w:p>
        </w:tc>
      </w:tr>
      <w:tr w14:paraId="20656A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980" w:hRule="atLeast"/>
          <w:jc w:val="center"/>
        </w:trPr>
        <w:tc>
          <w:tcPr>
            <w:tcW w:w="644" w:type="dxa"/>
            <w:vMerge w:val="restart"/>
            <w:tcBorders>
              <w:top w:val="single" w:color="000000" w:sz="6" w:space="0"/>
              <w:left w:val="single" w:color="000000" w:sz="6" w:space="0"/>
              <w:bottom w:val="nil"/>
              <w:right w:val="single" w:color="000000" w:sz="6" w:space="0"/>
            </w:tcBorders>
            <w:vAlign w:val="center"/>
          </w:tcPr>
          <w:p w14:paraId="169B04CF">
            <w:pPr>
              <w:spacing w:line="320" w:lineRule="exact"/>
              <w:jc w:val="center"/>
              <w:rPr>
                <w:rFonts w:ascii="仿宋" w:hAnsi="仿宋" w:eastAsia="仿宋" w:cs="仿宋"/>
                <w:sz w:val="18"/>
                <w:szCs w:val="18"/>
              </w:rPr>
            </w:pPr>
            <w:r>
              <w:rPr>
                <w:rFonts w:hint="eastAsia" w:ascii="仿宋" w:hAnsi="仿宋" w:eastAsia="仿宋" w:cs="仿宋"/>
                <w:sz w:val="18"/>
                <w:szCs w:val="18"/>
              </w:rPr>
              <w:t>A</w:t>
            </w:r>
          </w:p>
        </w:tc>
        <w:tc>
          <w:tcPr>
            <w:tcW w:w="942" w:type="dxa"/>
            <w:vMerge w:val="restart"/>
            <w:tcBorders>
              <w:top w:val="single" w:color="000000" w:sz="6" w:space="0"/>
              <w:left w:val="single" w:color="000000" w:sz="6" w:space="0"/>
              <w:bottom w:val="nil"/>
              <w:right w:val="single" w:color="000000" w:sz="6" w:space="0"/>
            </w:tcBorders>
            <w:vAlign w:val="center"/>
          </w:tcPr>
          <w:p w14:paraId="0EDACFBF">
            <w:pPr>
              <w:spacing w:line="320" w:lineRule="exact"/>
              <w:ind w:left="163"/>
              <w:jc w:val="center"/>
              <w:rPr>
                <w:rFonts w:ascii="仿宋" w:hAnsi="仿宋" w:eastAsia="仿宋" w:cs="仿宋"/>
                <w:sz w:val="18"/>
                <w:szCs w:val="18"/>
              </w:rPr>
            </w:pPr>
            <w:r>
              <w:rPr>
                <w:rFonts w:hint="eastAsia" w:ascii="仿宋" w:hAnsi="仿宋" w:eastAsia="仿宋" w:cs="仿宋"/>
                <w:sz w:val="18"/>
                <w:szCs w:val="18"/>
              </w:rPr>
              <w:t>08.9.1-</w:t>
            </w:r>
          </w:p>
          <w:p w14:paraId="541424E2">
            <w:pPr>
              <w:spacing w:line="320" w:lineRule="exact"/>
              <w:ind w:left="163"/>
              <w:jc w:val="center"/>
              <w:rPr>
                <w:rFonts w:ascii="仿宋" w:hAnsi="仿宋" w:eastAsia="仿宋" w:cs="仿宋"/>
                <w:sz w:val="18"/>
                <w:szCs w:val="18"/>
              </w:rPr>
            </w:pPr>
            <w:r>
              <w:rPr>
                <w:rFonts w:hint="eastAsia" w:ascii="仿宋" w:hAnsi="仿宋" w:eastAsia="仿宋" w:cs="仿宋"/>
                <w:sz w:val="18"/>
                <w:szCs w:val="18"/>
              </w:rPr>
              <w:t>10.12.31</w:t>
            </w:r>
          </w:p>
        </w:tc>
        <w:tc>
          <w:tcPr>
            <w:tcW w:w="709" w:type="dxa"/>
            <w:vMerge w:val="restart"/>
            <w:tcBorders>
              <w:top w:val="single" w:color="000000" w:sz="6" w:space="0"/>
              <w:left w:val="single" w:color="000000" w:sz="6" w:space="0"/>
              <w:bottom w:val="nil"/>
              <w:right w:val="single" w:color="000000" w:sz="6" w:space="0"/>
            </w:tcBorders>
            <w:vAlign w:val="center"/>
          </w:tcPr>
          <w:p w14:paraId="23D7DEF9">
            <w:pPr>
              <w:spacing w:before="59" w:line="320" w:lineRule="exact"/>
              <w:ind w:left="21" w:leftChars="10"/>
              <w:jc w:val="center"/>
              <w:rPr>
                <w:rFonts w:ascii="仿宋" w:hAnsi="仿宋" w:eastAsia="仿宋" w:cs="仿宋"/>
                <w:sz w:val="18"/>
                <w:szCs w:val="18"/>
              </w:rPr>
            </w:pPr>
            <w:r>
              <w:rPr>
                <w:rFonts w:hint="eastAsia" w:ascii="仿宋" w:hAnsi="仿宋" w:eastAsia="仿宋" w:cs="仿宋"/>
                <w:sz w:val="18"/>
                <w:szCs w:val="18"/>
              </w:rPr>
              <w:t>38</w:t>
            </w:r>
          </w:p>
        </w:tc>
        <w:tc>
          <w:tcPr>
            <w:tcW w:w="3691" w:type="dxa"/>
            <w:tcBorders>
              <w:top w:val="single" w:color="000000" w:sz="6" w:space="0"/>
              <w:left w:val="single" w:color="000000" w:sz="6" w:space="0"/>
              <w:bottom w:val="single" w:color="000000" w:sz="6" w:space="0"/>
              <w:right w:val="single" w:color="000000" w:sz="6" w:space="0"/>
            </w:tcBorders>
            <w:vAlign w:val="center"/>
          </w:tcPr>
          <w:p w14:paraId="1380AA54">
            <w:pPr>
              <w:spacing w:line="320" w:lineRule="exact"/>
              <w:jc w:val="both"/>
              <w:rPr>
                <w:rFonts w:ascii="仿宋" w:hAnsi="仿宋" w:eastAsia="仿宋" w:cs="仿宋"/>
                <w:sz w:val="18"/>
                <w:szCs w:val="18"/>
              </w:rPr>
            </w:pPr>
            <w:r>
              <w:rPr>
                <w:rFonts w:hint="eastAsia" w:ascii="仿宋" w:hAnsi="仿宋" w:eastAsia="仿宋" w:cs="仿宋"/>
                <w:sz w:val="18"/>
                <w:szCs w:val="18"/>
              </w:rPr>
              <w:t>100米，200米，400米，800米，1500米，5000米，110米栏（栏高0.914米，栏间距9.14米），400米栏（栏高0.838米</w:t>
            </w:r>
            <w:r>
              <w:rPr>
                <w:rFonts w:hint="eastAsia" w:ascii="仿宋" w:hAnsi="仿宋" w:eastAsia="仿宋" w:cs="仿宋"/>
                <w:sz w:val="18"/>
                <w:szCs w:val="18"/>
                <w:lang w:eastAsia="zh-CN"/>
              </w:rPr>
              <w:t>，</w:t>
            </w:r>
            <w:r>
              <w:rPr>
                <w:rFonts w:hint="eastAsia" w:ascii="仿宋" w:hAnsi="仿宋" w:eastAsia="仿宋" w:cs="仿宋"/>
                <w:spacing w:val="-1"/>
                <w:sz w:val="18"/>
                <w:szCs w:val="18"/>
              </w:rPr>
              <w:t>栏间距35米</w:t>
            </w:r>
            <w:r>
              <w:rPr>
                <w:rFonts w:hint="eastAsia" w:ascii="仿宋" w:hAnsi="仿宋" w:eastAsia="仿宋" w:cs="仿宋"/>
                <w:sz w:val="18"/>
                <w:szCs w:val="18"/>
              </w:rPr>
              <w:t>），跳高，撑竿跳高，跳远，三级跳远，铅球（5千克），铁饼（1.5千克），标枪（700克），七项全能，4</w:t>
            </w:r>
            <w:r>
              <w:rPr>
                <w:rFonts w:ascii="Arial" w:hAnsi="Arial" w:eastAsia="仿宋" w:cs="Arial"/>
                <w:sz w:val="18"/>
                <w:szCs w:val="18"/>
              </w:rPr>
              <w:t>×</w:t>
            </w:r>
            <w:r>
              <w:rPr>
                <w:rFonts w:hint="eastAsia" w:ascii="仿宋" w:hAnsi="仿宋" w:eastAsia="仿宋" w:cs="仿宋"/>
                <w:sz w:val="18"/>
                <w:szCs w:val="18"/>
              </w:rPr>
              <w:t>100米接力，4</w:t>
            </w:r>
            <w:r>
              <w:rPr>
                <w:rFonts w:ascii="Arial" w:hAnsi="Arial" w:eastAsia="仿宋" w:cs="Arial"/>
                <w:sz w:val="18"/>
                <w:szCs w:val="18"/>
              </w:rPr>
              <w:t>×</w:t>
            </w:r>
            <w:r>
              <w:rPr>
                <w:rFonts w:hint="eastAsia" w:ascii="仿宋" w:hAnsi="仿宋" w:eastAsia="仿宋" w:cs="仿宋"/>
                <w:sz w:val="18"/>
                <w:szCs w:val="18"/>
              </w:rPr>
              <w:t>400米接力</w:t>
            </w:r>
          </w:p>
        </w:tc>
        <w:tc>
          <w:tcPr>
            <w:tcW w:w="3814" w:type="dxa"/>
            <w:tcBorders>
              <w:top w:val="single" w:color="000000" w:sz="6" w:space="0"/>
              <w:left w:val="single" w:color="000000" w:sz="6" w:space="0"/>
              <w:bottom w:val="single" w:color="000000" w:sz="6" w:space="0"/>
              <w:right w:val="single" w:color="000000" w:sz="6" w:space="0"/>
            </w:tcBorders>
            <w:vAlign w:val="center"/>
          </w:tcPr>
          <w:p w14:paraId="2A2D215B">
            <w:pPr>
              <w:spacing w:line="320" w:lineRule="exact"/>
              <w:jc w:val="both"/>
              <w:rPr>
                <w:rFonts w:ascii="仿宋" w:hAnsi="仿宋" w:eastAsia="仿宋" w:cs="仿宋"/>
                <w:sz w:val="18"/>
                <w:szCs w:val="18"/>
              </w:rPr>
            </w:pPr>
            <w:r>
              <w:rPr>
                <w:rFonts w:hint="eastAsia" w:ascii="仿宋" w:hAnsi="仿宋" w:eastAsia="仿宋" w:cs="仿宋"/>
                <w:spacing w:val="-1"/>
                <w:sz w:val="18"/>
                <w:szCs w:val="18"/>
              </w:rPr>
              <w:t>100米，200米，400米，800米，1500米，3000米，100米</w:t>
            </w:r>
            <w:bookmarkStart w:id="2" w:name="_GoBack"/>
            <w:bookmarkEnd w:id="2"/>
            <w:r>
              <w:rPr>
                <w:rFonts w:hint="eastAsia" w:ascii="仿宋" w:hAnsi="仿宋" w:eastAsia="仿宋" w:cs="仿宋"/>
                <w:spacing w:val="-1"/>
                <w:sz w:val="18"/>
                <w:szCs w:val="18"/>
              </w:rPr>
              <w:t>栏（栏高0.762米，栏间距8.5米），400米栏（栏高0.762米，栏间距35米），跳高，撑竿跳高，跳远，三级跳远，铅球（3千克），铁饼（1千克），标枪（500克），五项全能，4</w:t>
            </w:r>
            <w:r>
              <w:rPr>
                <w:rFonts w:ascii="Arial" w:hAnsi="Arial" w:eastAsia="仿宋" w:cs="Arial"/>
                <w:sz w:val="18"/>
                <w:szCs w:val="18"/>
              </w:rPr>
              <w:t>×</w:t>
            </w:r>
            <w:r>
              <w:rPr>
                <w:rFonts w:hint="eastAsia" w:ascii="仿宋" w:hAnsi="仿宋" w:eastAsia="仿宋" w:cs="仿宋"/>
                <w:spacing w:val="-1"/>
                <w:sz w:val="18"/>
                <w:szCs w:val="18"/>
              </w:rPr>
              <w:t>100米接力，4</w:t>
            </w:r>
            <w:r>
              <w:rPr>
                <w:rFonts w:ascii="Arial" w:hAnsi="Arial" w:eastAsia="仿宋" w:cs="Arial"/>
                <w:sz w:val="18"/>
                <w:szCs w:val="18"/>
              </w:rPr>
              <w:t>×</w:t>
            </w:r>
            <w:r>
              <w:rPr>
                <w:rFonts w:hint="eastAsia" w:ascii="仿宋" w:hAnsi="仿宋" w:eastAsia="仿宋" w:cs="仿宋"/>
                <w:spacing w:val="-1"/>
                <w:sz w:val="18"/>
                <w:szCs w:val="18"/>
              </w:rPr>
              <w:t>400米接力</w:t>
            </w:r>
          </w:p>
        </w:tc>
      </w:tr>
      <w:tr w14:paraId="1ABDB8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6" w:hRule="atLeast"/>
          <w:jc w:val="center"/>
        </w:trPr>
        <w:tc>
          <w:tcPr>
            <w:tcW w:w="644" w:type="dxa"/>
            <w:vMerge w:val="continue"/>
            <w:tcBorders>
              <w:top w:val="nil"/>
              <w:left w:val="single" w:color="000000" w:sz="6" w:space="0"/>
              <w:bottom w:val="single" w:color="000000" w:sz="6" w:space="0"/>
              <w:right w:val="single" w:color="000000" w:sz="6" w:space="0"/>
            </w:tcBorders>
            <w:vAlign w:val="center"/>
          </w:tcPr>
          <w:p w14:paraId="6DA0D9A4">
            <w:pPr>
              <w:pStyle w:val="24"/>
              <w:spacing w:line="320" w:lineRule="exact"/>
              <w:jc w:val="center"/>
              <w:rPr>
                <w:rFonts w:ascii="仿宋" w:hAnsi="仿宋" w:eastAsia="仿宋" w:cs="仿宋"/>
                <w:sz w:val="18"/>
                <w:szCs w:val="18"/>
              </w:rPr>
            </w:pPr>
          </w:p>
        </w:tc>
        <w:tc>
          <w:tcPr>
            <w:tcW w:w="942" w:type="dxa"/>
            <w:vMerge w:val="continue"/>
            <w:tcBorders>
              <w:top w:val="nil"/>
              <w:left w:val="single" w:color="000000" w:sz="6" w:space="0"/>
              <w:bottom w:val="single" w:color="000000" w:sz="6" w:space="0"/>
              <w:right w:val="single" w:color="000000" w:sz="6" w:space="0"/>
            </w:tcBorders>
            <w:vAlign w:val="center"/>
          </w:tcPr>
          <w:p w14:paraId="4ECA5FA3">
            <w:pPr>
              <w:pStyle w:val="24"/>
              <w:spacing w:line="320" w:lineRule="exact"/>
              <w:jc w:val="center"/>
              <w:rPr>
                <w:rFonts w:ascii="仿宋" w:hAnsi="仿宋" w:eastAsia="仿宋" w:cs="仿宋"/>
                <w:sz w:val="18"/>
                <w:szCs w:val="18"/>
              </w:rPr>
            </w:pPr>
          </w:p>
        </w:tc>
        <w:tc>
          <w:tcPr>
            <w:tcW w:w="709" w:type="dxa"/>
            <w:vMerge w:val="continue"/>
            <w:tcBorders>
              <w:top w:val="nil"/>
              <w:left w:val="single" w:color="000000" w:sz="6" w:space="0"/>
              <w:bottom w:val="single" w:color="000000" w:sz="6" w:space="0"/>
              <w:right w:val="single" w:color="000000" w:sz="6" w:space="0"/>
            </w:tcBorders>
            <w:vAlign w:val="center"/>
          </w:tcPr>
          <w:p w14:paraId="44C3E22E">
            <w:pPr>
              <w:pStyle w:val="24"/>
              <w:spacing w:line="320" w:lineRule="exact"/>
              <w:ind w:left="21" w:leftChars="10"/>
              <w:jc w:val="center"/>
              <w:rPr>
                <w:rFonts w:ascii="仿宋" w:hAnsi="仿宋" w:eastAsia="仿宋" w:cs="仿宋"/>
                <w:sz w:val="18"/>
                <w:szCs w:val="18"/>
              </w:rPr>
            </w:pPr>
          </w:p>
        </w:tc>
        <w:tc>
          <w:tcPr>
            <w:tcW w:w="7505" w:type="dxa"/>
            <w:gridSpan w:val="2"/>
            <w:tcBorders>
              <w:top w:val="single" w:color="000000" w:sz="6" w:space="0"/>
              <w:left w:val="single" w:color="000000" w:sz="6" w:space="0"/>
              <w:bottom w:val="single" w:color="000000" w:sz="6" w:space="0"/>
              <w:right w:val="single" w:color="000000" w:sz="6" w:space="0"/>
            </w:tcBorders>
            <w:vAlign w:val="center"/>
          </w:tcPr>
          <w:p w14:paraId="69885E12">
            <w:pPr>
              <w:spacing w:line="320" w:lineRule="exact"/>
              <w:ind w:left="73" w:leftChars="35"/>
              <w:jc w:val="center"/>
              <w:rPr>
                <w:rFonts w:ascii="仿宋" w:hAnsi="仿宋" w:eastAsia="仿宋" w:cs="仿宋"/>
                <w:sz w:val="18"/>
                <w:szCs w:val="18"/>
              </w:rPr>
            </w:pPr>
            <w:r>
              <w:rPr>
                <w:rFonts w:hint="eastAsia" w:ascii="仿宋" w:hAnsi="仿宋" w:eastAsia="仿宋" w:cs="仿宋"/>
                <w:sz w:val="18"/>
                <w:szCs w:val="18"/>
              </w:rPr>
              <w:t>4</w:t>
            </w:r>
            <w:r>
              <w:rPr>
                <w:rFonts w:ascii="Arial" w:hAnsi="Arial" w:eastAsia="仿宋" w:cs="Arial"/>
                <w:sz w:val="18"/>
                <w:szCs w:val="18"/>
              </w:rPr>
              <w:t>×</w:t>
            </w:r>
            <w:r>
              <w:rPr>
                <w:rFonts w:hint="eastAsia" w:ascii="仿宋" w:hAnsi="仿宋" w:eastAsia="仿宋" w:cs="仿宋"/>
                <w:sz w:val="18"/>
                <w:szCs w:val="18"/>
              </w:rPr>
              <w:t>100米混合接力，4</w:t>
            </w:r>
            <w:r>
              <w:rPr>
                <w:rFonts w:ascii="Arial" w:hAnsi="Arial" w:eastAsia="仿宋" w:cs="Arial"/>
                <w:sz w:val="18"/>
                <w:szCs w:val="18"/>
              </w:rPr>
              <w:t>×</w:t>
            </w:r>
            <w:r>
              <w:rPr>
                <w:rFonts w:hint="eastAsia" w:ascii="仿宋" w:hAnsi="仿宋" w:eastAsia="仿宋" w:cs="仿宋"/>
                <w:sz w:val="18"/>
                <w:szCs w:val="18"/>
              </w:rPr>
              <w:t>400米混合接力</w:t>
            </w:r>
          </w:p>
        </w:tc>
      </w:tr>
      <w:tr w14:paraId="10461D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189" w:hRule="atLeast"/>
          <w:jc w:val="center"/>
        </w:trPr>
        <w:tc>
          <w:tcPr>
            <w:tcW w:w="644" w:type="dxa"/>
            <w:vMerge w:val="restart"/>
            <w:tcBorders>
              <w:top w:val="single" w:color="000000" w:sz="6" w:space="0"/>
              <w:left w:val="single" w:color="000000" w:sz="6" w:space="0"/>
              <w:bottom w:val="nil"/>
              <w:right w:val="single" w:color="000000" w:sz="6" w:space="0"/>
            </w:tcBorders>
            <w:vAlign w:val="center"/>
          </w:tcPr>
          <w:p w14:paraId="7B61FF29">
            <w:pPr>
              <w:spacing w:line="320" w:lineRule="exact"/>
              <w:jc w:val="center"/>
              <w:rPr>
                <w:rFonts w:ascii="仿宋" w:hAnsi="仿宋" w:eastAsia="仿宋" w:cs="仿宋"/>
                <w:sz w:val="18"/>
                <w:szCs w:val="18"/>
              </w:rPr>
            </w:pPr>
            <w:r>
              <w:rPr>
                <w:rFonts w:hint="eastAsia" w:ascii="仿宋" w:hAnsi="仿宋" w:eastAsia="仿宋" w:cs="仿宋"/>
                <w:sz w:val="18"/>
                <w:szCs w:val="18"/>
              </w:rPr>
              <w:t>B</w:t>
            </w:r>
          </w:p>
        </w:tc>
        <w:tc>
          <w:tcPr>
            <w:tcW w:w="942" w:type="dxa"/>
            <w:vMerge w:val="restart"/>
            <w:tcBorders>
              <w:top w:val="single" w:color="000000" w:sz="6" w:space="0"/>
              <w:left w:val="single" w:color="000000" w:sz="6" w:space="0"/>
              <w:bottom w:val="nil"/>
              <w:right w:val="single" w:color="000000" w:sz="6" w:space="0"/>
            </w:tcBorders>
            <w:vAlign w:val="center"/>
          </w:tcPr>
          <w:p w14:paraId="5D912EF4">
            <w:pPr>
              <w:spacing w:line="320" w:lineRule="exact"/>
              <w:ind w:left="177"/>
              <w:jc w:val="center"/>
              <w:rPr>
                <w:rFonts w:ascii="仿宋" w:hAnsi="仿宋" w:eastAsia="仿宋" w:cs="仿宋"/>
                <w:spacing w:val="-1"/>
                <w:sz w:val="18"/>
                <w:szCs w:val="18"/>
              </w:rPr>
            </w:pPr>
            <w:r>
              <w:rPr>
                <w:rFonts w:hint="eastAsia" w:ascii="仿宋" w:hAnsi="仿宋" w:eastAsia="仿宋" w:cs="仿宋"/>
                <w:spacing w:val="-1"/>
                <w:sz w:val="18"/>
                <w:szCs w:val="18"/>
              </w:rPr>
              <w:t>11.1.1-</w:t>
            </w:r>
          </w:p>
          <w:p w14:paraId="7986CAF1">
            <w:pPr>
              <w:spacing w:line="320" w:lineRule="exact"/>
              <w:ind w:left="177"/>
              <w:jc w:val="center"/>
              <w:rPr>
                <w:rFonts w:ascii="仿宋" w:hAnsi="仿宋" w:eastAsia="仿宋" w:cs="仿宋"/>
                <w:sz w:val="18"/>
                <w:szCs w:val="18"/>
              </w:rPr>
            </w:pPr>
            <w:r>
              <w:rPr>
                <w:rFonts w:hint="eastAsia" w:ascii="仿宋" w:hAnsi="仿宋" w:eastAsia="仿宋" w:cs="仿宋"/>
                <w:spacing w:val="-1"/>
                <w:sz w:val="18"/>
                <w:szCs w:val="18"/>
              </w:rPr>
              <w:t>12.12.31</w:t>
            </w:r>
          </w:p>
        </w:tc>
        <w:tc>
          <w:tcPr>
            <w:tcW w:w="709" w:type="dxa"/>
            <w:vMerge w:val="restart"/>
            <w:tcBorders>
              <w:top w:val="single" w:color="000000" w:sz="6" w:space="0"/>
              <w:left w:val="single" w:color="000000" w:sz="6" w:space="0"/>
              <w:bottom w:val="nil"/>
              <w:right w:val="single" w:color="000000" w:sz="6" w:space="0"/>
            </w:tcBorders>
            <w:vAlign w:val="center"/>
          </w:tcPr>
          <w:p w14:paraId="432473EA">
            <w:pPr>
              <w:spacing w:before="59" w:line="320" w:lineRule="exact"/>
              <w:ind w:left="21" w:leftChars="10"/>
              <w:jc w:val="center"/>
              <w:rPr>
                <w:rFonts w:ascii="仿宋" w:hAnsi="仿宋" w:eastAsia="仿宋" w:cs="仿宋"/>
                <w:sz w:val="18"/>
                <w:szCs w:val="18"/>
              </w:rPr>
            </w:pPr>
            <w:r>
              <w:rPr>
                <w:rFonts w:hint="eastAsia" w:ascii="仿宋" w:hAnsi="仿宋" w:eastAsia="仿宋" w:cs="仿宋"/>
                <w:sz w:val="18"/>
                <w:szCs w:val="18"/>
              </w:rPr>
              <w:t>38</w:t>
            </w:r>
          </w:p>
        </w:tc>
        <w:tc>
          <w:tcPr>
            <w:tcW w:w="3691" w:type="dxa"/>
            <w:tcBorders>
              <w:top w:val="single" w:color="000000" w:sz="6" w:space="0"/>
              <w:left w:val="single" w:color="000000" w:sz="6" w:space="0"/>
              <w:bottom w:val="single" w:color="000000" w:sz="6" w:space="0"/>
              <w:right w:val="single" w:color="000000" w:sz="6" w:space="0"/>
            </w:tcBorders>
            <w:vAlign w:val="center"/>
          </w:tcPr>
          <w:p w14:paraId="5C9E4834">
            <w:pPr>
              <w:spacing w:line="320" w:lineRule="exact"/>
              <w:jc w:val="left"/>
              <w:rPr>
                <w:rFonts w:ascii="仿宋" w:hAnsi="仿宋" w:eastAsia="仿宋" w:cs="仿宋"/>
                <w:sz w:val="18"/>
                <w:szCs w:val="18"/>
              </w:rPr>
            </w:pPr>
            <w:r>
              <w:rPr>
                <w:rFonts w:hint="eastAsia" w:ascii="仿宋" w:hAnsi="仿宋" w:eastAsia="仿宋" w:cs="仿宋"/>
                <w:sz w:val="18"/>
                <w:szCs w:val="18"/>
              </w:rPr>
              <w:t>100米，200米，400米，800米，1500米，3000米，110米栏（栏高0.914米，栏间距8.7米），300米栏（栏高0.762米，栏间距35米），跳高，撑竿跳高，跳远，三级跳远，铅球（5千克），铁饼（1千克），标枪（600克），</w:t>
            </w:r>
            <w:r>
              <w:rPr>
                <w:rFonts w:hint="eastAsia" w:ascii="仿宋" w:hAnsi="仿宋" w:eastAsia="仿宋" w:cs="仿宋"/>
                <w:sz w:val="18"/>
                <w:szCs w:val="18"/>
                <w:lang w:eastAsia="zh-CN"/>
              </w:rPr>
              <w:t>四</w:t>
            </w:r>
            <w:r>
              <w:rPr>
                <w:rFonts w:hint="eastAsia" w:ascii="仿宋" w:hAnsi="仿宋" w:eastAsia="仿宋" w:cs="仿宋"/>
                <w:sz w:val="18"/>
                <w:szCs w:val="18"/>
              </w:rPr>
              <w:t>项全能，4</w:t>
            </w:r>
            <w:r>
              <w:rPr>
                <w:rFonts w:ascii="Arial" w:hAnsi="Arial" w:eastAsia="仿宋" w:cs="Arial"/>
                <w:sz w:val="18"/>
                <w:szCs w:val="18"/>
              </w:rPr>
              <w:t>×</w:t>
            </w:r>
            <w:r>
              <w:rPr>
                <w:rFonts w:hint="eastAsia" w:ascii="仿宋" w:hAnsi="仿宋" w:eastAsia="仿宋" w:cs="仿宋"/>
                <w:sz w:val="18"/>
                <w:szCs w:val="18"/>
              </w:rPr>
              <w:t>100米接力，4</w:t>
            </w:r>
            <w:r>
              <w:rPr>
                <w:rFonts w:ascii="Arial" w:hAnsi="Arial" w:eastAsia="仿宋" w:cs="Arial"/>
                <w:sz w:val="18"/>
                <w:szCs w:val="18"/>
              </w:rPr>
              <w:t>×</w:t>
            </w:r>
            <w:r>
              <w:rPr>
                <w:rFonts w:hint="eastAsia" w:ascii="仿宋" w:hAnsi="仿宋" w:eastAsia="仿宋" w:cs="仿宋"/>
                <w:sz w:val="18"/>
                <w:szCs w:val="18"/>
              </w:rPr>
              <w:t>200米接力</w:t>
            </w:r>
          </w:p>
        </w:tc>
        <w:tc>
          <w:tcPr>
            <w:tcW w:w="3814" w:type="dxa"/>
            <w:tcBorders>
              <w:top w:val="single" w:color="000000" w:sz="6" w:space="0"/>
              <w:left w:val="single" w:color="000000" w:sz="6" w:space="0"/>
              <w:bottom w:val="single" w:color="000000" w:sz="6" w:space="0"/>
              <w:right w:val="single" w:color="000000" w:sz="6" w:space="0"/>
            </w:tcBorders>
            <w:vAlign w:val="center"/>
          </w:tcPr>
          <w:p w14:paraId="299756C6">
            <w:pPr>
              <w:spacing w:line="320" w:lineRule="exact"/>
              <w:jc w:val="left"/>
              <w:rPr>
                <w:rFonts w:ascii="仿宋" w:hAnsi="仿宋" w:eastAsia="仿宋" w:cs="仿宋"/>
                <w:sz w:val="18"/>
                <w:szCs w:val="18"/>
              </w:rPr>
            </w:pPr>
            <w:r>
              <w:rPr>
                <w:rFonts w:hint="eastAsia" w:ascii="仿宋" w:hAnsi="仿宋" w:eastAsia="仿宋" w:cs="仿宋"/>
                <w:sz w:val="18"/>
                <w:szCs w:val="18"/>
              </w:rPr>
              <w:t>100米，200米，400米，800米，1500米，3000米，100米栏（栏高0.762米，栏间距8米），300米栏（栏高0.762米，栏间距35米），跳高，撑竿跳高，跳远，三级跳远，铅球（3千克），铁饼（1千克），标枪（500克），四项全能，4</w:t>
            </w:r>
            <w:r>
              <w:rPr>
                <w:rFonts w:ascii="Arial" w:hAnsi="Arial" w:eastAsia="仿宋" w:cs="Arial"/>
                <w:sz w:val="18"/>
                <w:szCs w:val="18"/>
              </w:rPr>
              <w:t>×</w:t>
            </w:r>
            <w:r>
              <w:rPr>
                <w:rFonts w:hint="eastAsia" w:ascii="仿宋" w:hAnsi="仿宋" w:eastAsia="仿宋" w:cs="仿宋"/>
                <w:sz w:val="18"/>
                <w:szCs w:val="18"/>
              </w:rPr>
              <w:t>100米接力，4</w:t>
            </w:r>
            <w:r>
              <w:rPr>
                <w:rFonts w:ascii="Arial" w:hAnsi="Arial" w:eastAsia="仿宋" w:cs="Arial"/>
                <w:sz w:val="18"/>
                <w:szCs w:val="18"/>
              </w:rPr>
              <w:t>×</w:t>
            </w:r>
            <w:r>
              <w:rPr>
                <w:rFonts w:hint="eastAsia" w:ascii="仿宋" w:hAnsi="仿宋" w:eastAsia="仿宋" w:cs="仿宋"/>
                <w:sz w:val="18"/>
                <w:szCs w:val="18"/>
              </w:rPr>
              <w:t>200米接力</w:t>
            </w:r>
          </w:p>
        </w:tc>
      </w:tr>
      <w:tr w14:paraId="473310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8" w:hRule="atLeast"/>
          <w:jc w:val="center"/>
        </w:trPr>
        <w:tc>
          <w:tcPr>
            <w:tcW w:w="644" w:type="dxa"/>
            <w:vMerge w:val="continue"/>
            <w:tcBorders>
              <w:top w:val="nil"/>
              <w:left w:val="single" w:color="000000" w:sz="6" w:space="0"/>
              <w:bottom w:val="single" w:color="000000" w:sz="6" w:space="0"/>
              <w:right w:val="single" w:color="000000" w:sz="6" w:space="0"/>
            </w:tcBorders>
            <w:vAlign w:val="center"/>
          </w:tcPr>
          <w:p w14:paraId="6CE34306">
            <w:pPr>
              <w:pStyle w:val="24"/>
              <w:spacing w:line="320" w:lineRule="exact"/>
              <w:jc w:val="center"/>
              <w:rPr>
                <w:rFonts w:ascii="仿宋" w:hAnsi="仿宋" w:eastAsia="仿宋" w:cs="仿宋"/>
                <w:sz w:val="18"/>
                <w:szCs w:val="18"/>
              </w:rPr>
            </w:pPr>
          </w:p>
        </w:tc>
        <w:tc>
          <w:tcPr>
            <w:tcW w:w="942" w:type="dxa"/>
            <w:vMerge w:val="continue"/>
            <w:tcBorders>
              <w:top w:val="nil"/>
              <w:left w:val="single" w:color="000000" w:sz="6" w:space="0"/>
              <w:bottom w:val="single" w:color="000000" w:sz="6" w:space="0"/>
              <w:right w:val="single" w:color="000000" w:sz="6" w:space="0"/>
            </w:tcBorders>
            <w:vAlign w:val="center"/>
          </w:tcPr>
          <w:p w14:paraId="658F1D03">
            <w:pPr>
              <w:pStyle w:val="24"/>
              <w:spacing w:line="320" w:lineRule="exact"/>
              <w:jc w:val="center"/>
              <w:rPr>
                <w:rFonts w:ascii="仿宋" w:hAnsi="仿宋" w:eastAsia="仿宋" w:cs="仿宋"/>
                <w:sz w:val="18"/>
                <w:szCs w:val="18"/>
              </w:rPr>
            </w:pPr>
          </w:p>
        </w:tc>
        <w:tc>
          <w:tcPr>
            <w:tcW w:w="709" w:type="dxa"/>
            <w:vMerge w:val="continue"/>
            <w:tcBorders>
              <w:top w:val="nil"/>
              <w:left w:val="single" w:color="000000" w:sz="6" w:space="0"/>
              <w:bottom w:val="single" w:color="000000" w:sz="6" w:space="0"/>
              <w:right w:val="single" w:color="000000" w:sz="6" w:space="0"/>
            </w:tcBorders>
            <w:vAlign w:val="center"/>
          </w:tcPr>
          <w:p w14:paraId="3E58E238">
            <w:pPr>
              <w:pStyle w:val="24"/>
              <w:spacing w:line="320" w:lineRule="exact"/>
              <w:ind w:left="21" w:leftChars="10"/>
              <w:jc w:val="center"/>
              <w:rPr>
                <w:rFonts w:ascii="仿宋" w:hAnsi="仿宋" w:eastAsia="仿宋" w:cs="仿宋"/>
                <w:sz w:val="18"/>
                <w:szCs w:val="18"/>
              </w:rPr>
            </w:pPr>
          </w:p>
        </w:tc>
        <w:tc>
          <w:tcPr>
            <w:tcW w:w="7505" w:type="dxa"/>
            <w:gridSpan w:val="2"/>
            <w:tcBorders>
              <w:top w:val="single" w:color="000000" w:sz="6" w:space="0"/>
              <w:left w:val="single" w:color="000000" w:sz="6" w:space="0"/>
              <w:bottom w:val="single" w:color="000000" w:sz="6" w:space="0"/>
              <w:right w:val="single" w:color="000000" w:sz="6" w:space="0"/>
            </w:tcBorders>
            <w:vAlign w:val="center"/>
          </w:tcPr>
          <w:p w14:paraId="72EB47EC">
            <w:pPr>
              <w:spacing w:line="320" w:lineRule="exact"/>
              <w:ind w:left="73" w:leftChars="35"/>
              <w:jc w:val="center"/>
              <w:rPr>
                <w:rFonts w:ascii="仿宋" w:hAnsi="仿宋" w:eastAsia="仿宋" w:cs="仿宋"/>
                <w:sz w:val="18"/>
                <w:szCs w:val="18"/>
              </w:rPr>
            </w:pPr>
            <w:r>
              <w:rPr>
                <w:rFonts w:hint="eastAsia" w:ascii="仿宋" w:hAnsi="仿宋" w:eastAsia="仿宋" w:cs="仿宋"/>
                <w:sz w:val="18"/>
                <w:szCs w:val="18"/>
              </w:rPr>
              <w:t>4</w:t>
            </w:r>
            <w:r>
              <w:rPr>
                <w:rFonts w:ascii="Arial" w:hAnsi="Arial" w:eastAsia="仿宋" w:cs="Arial"/>
                <w:sz w:val="18"/>
                <w:szCs w:val="18"/>
              </w:rPr>
              <w:t>×</w:t>
            </w:r>
            <w:r>
              <w:rPr>
                <w:rFonts w:hint="eastAsia" w:ascii="仿宋" w:hAnsi="仿宋" w:eastAsia="仿宋" w:cs="仿宋"/>
                <w:sz w:val="18"/>
                <w:szCs w:val="18"/>
              </w:rPr>
              <w:t>100米混合接力，4</w:t>
            </w:r>
            <w:r>
              <w:rPr>
                <w:rFonts w:ascii="Arial" w:hAnsi="Arial" w:eastAsia="仿宋" w:cs="Arial"/>
                <w:sz w:val="18"/>
                <w:szCs w:val="18"/>
              </w:rPr>
              <w:t>×</w:t>
            </w:r>
            <w:r>
              <w:rPr>
                <w:rFonts w:hint="eastAsia" w:ascii="仿宋" w:hAnsi="仿宋" w:eastAsia="仿宋" w:cs="仿宋"/>
                <w:sz w:val="18"/>
                <w:szCs w:val="18"/>
              </w:rPr>
              <w:t>400米混合接力</w:t>
            </w:r>
          </w:p>
        </w:tc>
      </w:tr>
      <w:tr w14:paraId="580145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951" w:hRule="atLeast"/>
          <w:jc w:val="center"/>
        </w:trPr>
        <w:tc>
          <w:tcPr>
            <w:tcW w:w="644" w:type="dxa"/>
            <w:tcBorders>
              <w:top w:val="single" w:color="000000" w:sz="6" w:space="0"/>
              <w:left w:val="single" w:color="000000" w:sz="6" w:space="0"/>
              <w:bottom w:val="single" w:color="000000" w:sz="6" w:space="0"/>
              <w:right w:val="single" w:color="000000" w:sz="6" w:space="0"/>
            </w:tcBorders>
            <w:vAlign w:val="center"/>
          </w:tcPr>
          <w:p w14:paraId="0D18BA95">
            <w:pPr>
              <w:spacing w:line="320" w:lineRule="exact"/>
              <w:ind w:left="29"/>
              <w:jc w:val="center"/>
              <w:rPr>
                <w:rFonts w:ascii="仿宋" w:hAnsi="仿宋" w:eastAsia="仿宋" w:cs="仿宋"/>
                <w:sz w:val="18"/>
                <w:szCs w:val="18"/>
              </w:rPr>
            </w:pPr>
            <w:r>
              <w:rPr>
                <w:rFonts w:hint="eastAsia" w:ascii="仿宋" w:hAnsi="仿宋" w:eastAsia="仿宋" w:cs="仿宋"/>
                <w:sz w:val="18"/>
                <w:szCs w:val="18"/>
              </w:rPr>
              <w:t>C</w:t>
            </w:r>
          </w:p>
        </w:tc>
        <w:tc>
          <w:tcPr>
            <w:tcW w:w="942" w:type="dxa"/>
            <w:tcBorders>
              <w:top w:val="single" w:color="000000" w:sz="6" w:space="0"/>
              <w:left w:val="single" w:color="000000" w:sz="6" w:space="0"/>
              <w:bottom w:val="single" w:color="000000" w:sz="6" w:space="0"/>
              <w:right w:val="single" w:color="000000" w:sz="6" w:space="0"/>
            </w:tcBorders>
            <w:vAlign w:val="center"/>
          </w:tcPr>
          <w:p w14:paraId="409BE614">
            <w:pPr>
              <w:spacing w:line="320" w:lineRule="exact"/>
              <w:ind w:left="178"/>
              <w:jc w:val="center"/>
              <w:rPr>
                <w:rFonts w:ascii="仿宋" w:hAnsi="仿宋" w:eastAsia="仿宋" w:cs="仿宋"/>
                <w:spacing w:val="-2"/>
                <w:sz w:val="18"/>
                <w:szCs w:val="18"/>
              </w:rPr>
            </w:pPr>
            <w:r>
              <w:rPr>
                <w:rFonts w:hint="eastAsia" w:ascii="仿宋" w:hAnsi="仿宋" w:eastAsia="仿宋" w:cs="仿宋"/>
                <w:spacing w:val="-2"/>
                <w:sz w:val="18"/>
                <w:szCs w:val="18"/>
              </w:rPr>
              <w:t>13.1.1-</w:t>
            </w:r>
          </w:p>
          <w:p w14:paraId="08BA9064">
            <w:pPr>
              <w:spacing w:line="320" w:lineRule="exact"/>
              <w:ind w:left="178"/>
              <w:jc w:val="center"/>
              <w:rPr>
                <w:rFonts w:ascii="仿宋" w:hAnsi="仿宋" w:eastAsia="仿宋" w:cs="仿宋"/>
                <w:sz w:val="18"/>
                <w:szCs w:val="18"/>
              </w:rPr>
            </w:pPr>
            <w:r>
              <w:rPr>
                <w:rFonts w:hint="eastAsia" w:ascii="仿宋" w:hAnsi="仿宋" w:eastAsia="仿宋" w:cs="仿宋"/>
                <w:spacing w:val="-2"/>
                <w:sz w:val="18"/>
                <w:szCs w:val="18"/>
              </w:rPr>
              <w:t>14.12.31</w:t>
            </w:r>
          </w:p>
        </w:tc>
        <w:tc>
          <w:tcPr>
            <w:tcW w:w="709" w:type="dxa"/>
            <w:tcBorders>
              <w:top w:val="single" w:color="000000" w:sz="6" w:space="0"/>
              <w:left w:val="single" w:color="000000" w:sz="6" w:space="0"/>
              <w:bottom w:val="single" w:color="000000" w:sz="6" w:space="0"/>
              <w:right w:val="single" w:color="000000" w:sz="6" w:space="0"/>
            </w:tcBorders>
            <w:vAlign w:val="center"/>
          </w:tcPr>
          <w:p w14:paraId="784210E2">
            <w:pPr>
              <w:spacing w:line="320" w:lineRule="exact"/>
              <w:ind w:left="523" w:leftChars="35" w:right="40" w:hanging="450"/>
              <w:jc w:val="center"/>
              <w:rPr>
                <w:rFonts w:ascii="仿宋" w:hAnsi="仿宋" w:eastAsia="仿宋" w:cs="仿宋"/>
                <w:spacing w:val="-1"/>
                <w:sz w:val="18"/>
                <w:szCs w:val="18"/>
              </w:rPr>
            </w:pPr>
            <w:r>
              <w:rPr>
                <w:rFonts w:hint="eastAsia" w:ascii="仿宋" w:hAnsi="仿宋" w:eastAsia="仿宋" w:cs="仿宋"/>
                <w:spacing w:val="-1"/>
                <w:sz w:val="18"/>
                <w:szCs w:val="18"/>
              </w:rPr>
              <w:t>30</w:t>
            </w:r>
          </w:p>
        </w:tc>
        <w:tc>
          <w:tcPr>
            <w:tcW w:w="3691" w:type="dxa"/>
            <w:tcBorders>
              <w:top w:val="single" w:color="000000" w:sz="6" w:space="0"/>
              <w:left w:val="single" w:color="000000" w:sz="6" w:space="0"/>
              <w:bottom w:val="single" w:color="000000" w:sz="6" w:space="0"/>
              <w:right w:val="single" w:color="000000" w:sz="6" w:space="0"/>
            </w:tcBorders>
            <w:vAlign w:val="center"/>
          </w:tcPr>
          <w:p w14:paraId="12E9CAD7">
            <w:pPr>
              <w:spacing w:line="320" w:lineRule="exact"/>
              <w:ind w:right="40"/>
              <w:jc w:val="left"/>
              <w:rPr>
                <w:rFonts w:ascii="仿宋" w:hAnsi="仿宋" w:eastAsia="仿宋" w:cs="仿宋"/>
                <w:spacing w:val="-1"/>
                <w:sz w:val="18"/>
                <w:szCs w:val="18"/>
              </w:rPr>
            </w:pPr>
            <w:r>
              <w:rPr>
                <w:rFonts w:hint="eastAsia" w:ascii="仿宋" w:hAnsi="仿宋" w:eastAsia="仿宋" w:cs="仿宋"/>
                <w:spacing w:val="-1"/>
                <w:sz w:val="18"/>
                <w:szCs w:val="18"/>
              </w:rPr>
              <w:t>60米，100米，200米，400米，800米，1500米，100米栏（</w:t>
            </w:r>
            <w:r>
              <w:rPr>
                <w:rFonts w:hint="eastAsia" w:ascii="仿宋" w:hAnsi="仿宋" w:eastAsia="仿宋" w:cs="仿宋"/>
                <w:sz w:val="18"/>
                <w:szCs w:val="18"/>
              </w:rPr>
              <w:t>栏高</w:t>
            </w:r>
            <w:r>
              <w:rPr>
                <w:rFonts w:hint="eastAsia" w:ascii="仿宋" w:hAnsi="仿宋" w:eastAsia="仿宋" w:cs="仿宋"/>
                <w:spacing w:val="-1"/>
                <w:sz w:val="18"/>
                <w:szCs w:val="18"/>
              </w:rPr>
              <w:t>0.762米，</w:t>
            </w:r>
            <w:r>
              <w:rPr>
                <w:rFonts w:hint="eastAsia" w:ascii="仿宋" w:hAnsi="仿宋" w:eastAsia="仿宋" w:cs="仿宋"/>
                <w:sz w:val="18"/>
                <w:szCs w:val="18"/>
              </w:rPr>
              <w:t>栏间距</w:t>
            </w:r>
            <w:r>
              <w:rPr>
                <w:rFonts w:hint="eastAsia" w:ascii="仿宋" w:hAnsi="仿宋" w:eastAsia="仿宋" w:cs="仿宋"/>
                <w:spacing w:val="-1"/>
                <w:sz w:val="18"/>
                <w:szCs w:val="18"/>
              </w:rPr>
              <w:t>8米），跳远，跳高，铅球（4千克），标枪（500克），铁饼（</w:t>
            </w:r>
            <w:r>
              <w:rPr>
                <w:rFonts w:hint="eastAsia" w:ascii="仿宋" w:hAnsi="仿宋" w:eastAsia="仿宋" w:cs="仿宋"/>
                <w:spacing w:val="-1"/>
                <w:sz w:val="18"/>
                <w:szCs w:val="18"/>
                <w:lang w:val="en-US" w:eastAsia="zh-CN"/>
              </w:rPr>
              <w:t>1千</w:t>
            </w:r>
            <w:r>
              <w:rPr>
                <w:rFonts w:hint="eastAsia" w:ascii="仿宋" w:hAnsi="仿宋" w:eastAsia="仿宋" w:cs="仿宋"/>
                <w:spacing w:val="-1"/>
                <w:sz w:val="18"/>
                <w:szCs w:val="18"/>
              </w:rPr>
              <w:t>克），三项全能，4</w:t>
            </w:r>
            <w:r>
              <w:rPr>
                <w:rFonts w:ascii="Arial" w:hAnsi="Arial" w:eastAsia="仿宋" w:cs="Arial"/>
                <w:sz w:val="18"/>
                <w:szCs w:val="18"/>
              </w:rPr>
              <w:t>×</w:t>
            </w:r>
            <w:r>
              <w:rPr>
                <w:rFonts w:hint="eastAsia" w:ascii="仿宋" w:hAnsi="仿宋" w:eastAsia="仿宋" w:cs="仿宋"/>
                <w:spacing w:val="-1"/>
                <w:sz w:val="18"/>
                <w:szCs w:val="18"/>
              </w:rPr>
              <w:t>100米接力，4</w:t>
            </w:r>
            <w:r>
              <w:rPr>
                <w:rFonts w:ascii="Arial" w:hAnsi="Arial" w:eastAsia="仿宋" w:cs="Arial"/>
                <w:sz w:val="18"/>
                <w:szCs w:val="18"/>
              </w:rPr>
              <w:t>×</w:t>
            </w:r>
            <w:r>
              <w:rPr>
                <w:rFonts w:hint="eastAsia" w:ascii="仿宋" w:hAnsi="仿宋" w:eastAsia="仿宋" w:cs="仿宋"/>
                <w:spacing w:val="-1"/>
                <w:sz w:val="18"/>
                <w:szCs w:val="18"/>
              </w:rPr>
              <w:t>200米接力</w:t>
            </w:r>
          </w:p>
        </w:tc>
        <w:tc>
          <w:tcPr>
            <w:tcW w:w="3814" w:type="dxa"/>
            <w:tcBorders>
              <w:top w:val="single" w:color="000000" w:sz="6" w:space="0"/>
              <w:left w:val="single" w:color="000000" w:sz="6" w:space="0"/>
              <w:bottom w:val="single" w:color="000000" w:sz="6" w:space="0"/>
              <w:right w:val="single" w:color="000000" w:sz="6" w:space="0"/>
            </w:tcBorders>
            <w:vAlign w:val="center"/>
          </w:tcPr>
          <w:p w14:paraId="10CA72FA">
            <w:pPr>
              <w:spacing w:line="320" w:lineRule="exact"/>
              <w:ind w:right="40"/>
              <w:jc w:val="left"/>
              <w:rPr>
                <w:rFonts w:ascii="仿宋" w:hAnsi="仿宋" w:eastAsia="仿宋" w:cs="仿宋"/>
                <w:sz w:val="18"/>
                <w:szCs w:val="18"/>
              </w:rPr>
            </w:pPr>
            <w:r>
              <w:rPr>
                <w:rFonts w:hint="eastAsia" w:ascii="仿宋" w:hAnsi="仿宋" w:eastAsia="仿宋" w:cs="仿宋"/>
                <w:spacing w:val="-1"/>
                <w:sz w:val="18"/>
                <w:szCs w:val="18"/>
              </w:rPr>
              <w:t>60米，100米，200米，400米，800米，1500米，80米栏（栏高0.762米，栏间距7.5米），跳远，跳高，铅球（3千克），标枪（400克），铁饼（</w:t>
            </w:r>
            <w:r>
              <w:rPr>
                <w:rFonts w:hint="eastAsia" w:ascii="仿宋" w:hAnsi="仿宋" w:eastAsia="仿宋" w:cs="仿宋"/>
                <w:spacing w:val="-1"/>
                <w:sz w:val="18"/>
                <w:szCs w:val="18"/>
                <w:lang w:val="en-US" w:eastAsia="zh-CN"/>
              </w:rPr>
              <w:t>1千</w:t>
            </w:r>
            <w:r>
              <w:rPr>
                <w:rFonts w:hint="eastAsia" w:ascii="仿宋" w:hAnsi="仿宋" w:eastAsia="仿宋" w:cs="仿宋"/>
                <w:spacing w:val="-1"/>
                <w:sz w:val="18"/>
                <w:szCs w:val="18"/>
              </w:rPr>
              <w:t>克），三项全能，4</w:t>
            </w:r>
            <w:r>
              <w:rPr>
                <w:rFonts w:ascii="Arial" w:hAnsi="Arial" w:eastAsia="仿宋" w:cs="Arial"/>
                <w:sz w:val="18"/>
                <w:szCs w:val="18"/>
              </w:rPr>
              <w:t>×</w:t>
            </w:r>
            <w:r>
              <w:rPr>
                <w:rFonts w:hint="eastAsia" w:ascii="仿宋" w:hAnsi="仿宋" w:eastAsia="仿宋" w:cs="仿宋"/>
                <w:spacing w:val="-1"/>
                <w:sz w:val="18"/>
                <w:szCs w:val="18"/>
              </w:rPr>
              <w:t>100米接力，4</w:t>
            </w:r>
            <w:r>
              <w:rPr>
                <w:rFonts w:ascii="Arial" w:hAnsi="Arial" w:eastAsia="仿宋" w:cs="Arial"/>
                <w:sz w:val="18"/>
                <w:szCs w:val="18"/>
              </w:rPr>
              <w:t>×</w:t>
            </w:r>
            <w:r>
              <w:rPr>
                <w:rFonts w:hint="eastAsia" w:ascii="仿宋" w:hAnsi="仿宋" w:eastAsia="仿宋" w:cs="仿宋"/>
                <w:spacing w:val="-1"/>
                <w:sz w:val="18"/>
                <w:szCs w:val="18"/>
              </w:rPr>
              <w:t>200米接力</w:t>
            </w:r>
          </w:p>
        </w:tc>
      </w:tr>
    </w:tbl>
    <w:p w14:paraId="2ED33217">
      <w:pPr>
        <w:adjustRightInd w:val="0"/>
        <w:snapToGrid w:val="0"/>
        <w:spacing w:line="540" w:lineRule="exact"/>
        <w:rPr>
          <w:rFonts w:ascii="仿宋" w:hAnsi="仿宋" w:eastAsia="仿宋" w:cs="仿宋"/>
          <w:b/>
          <w:sz w:val="28"/>
          <w:szCs w:val="28"/>
        </w:rPr>
      </w:pPr>
    </w:p>
    <w:p w14:paraId="650D4395">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八、参赛资格</w:t>
      </w:r>
    </w:p>
    <w:p w14:paraId="48E69F31">
      <w:pPr>
        <w:spacing w:line="540" w:lineRule="exact"/>
        <w:ind w:firstLine="560" w:firstLineChars="200"/>
        <w:rPr>
          <w:rFonts w:ascii="仿宋" w:hAnsi="仿宋" w:eastAsia="仿宋" w:cs="仿宋"/>
          <w:color w:val="0000FF"/>
          <w:sz w:val="28"/>
          <w:szCs w:val="28"/>
        </w:rPr>
      </w:pPr>
      <w:r>
        <w:rPr>
          <w:rFonts w:hint="eastAsia" w:ascii="仿宋" w:hAnsi="仿宋" w:eastAsia="仿宋" w:cs="仿宋"/>
          <w:sz w:val="28"/>
          <w:szCs w:val="28"/>
        </w:rPr>
        <w:t>（一）运动员须具有中国国籍（包括港、澳、台）。运动员须经医务部门检查，证明身体健康，适合参赛。</w:t>
      </w:r>
    </w:p>
    <w:p w14:paraId="52760280">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（二）每名运动员只能代表一个单位（代表团）参赛；运动员不得跨越组别参赛。</w:t>
      </w:r>
    </w:p>
    <w:p w14:paraId="42C19E08">
      <w:pPr>
        <w:spacing w:line="540" w:lineRule="exact"/>
        <w:ind w:firstLine="560" w:firstLineChars="200"/>
        <w:rPr>
          <w:rFonts w:ascii="仿宋" w:hAnsi="仿宋" w:eastAsia="仿宋" w:cs="仿宋"/>
          <w:sz w:val="28"/>
          <w:szCs w:val="28"/>
        </w:rPr>
      </w:pPr>
      <w:bookmarkStart w:id="0" w:name="_Hlk94972236"/>
      <w:r>
        <w:rPr>
          <w:rFonts w:hint="eastAsia" w:ascii="仿宋" w:hAnsi="仿宋" w:eastAsia="仿宋" w:cs="仿宋"/>
          <w:sz w:val="28"/>
          <w:szCs w:val="28"/>
        </w:rPr>
        <w:t>（三）参赛运动员必须是2026年在本市有效注册的青少年运动员，并持本人当年有效的《上海市青少年运动员注册卡》参赛。</w:t>
      </w:r>
      <w:bookmarkEnd w:id="0"/>
    </w:p>
    <w:p w14:paraId="146A4D3C">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（四）本届市运会教练员须是2026年在本市有效注册的青训教练员，方可报名参赛。</w:t>
      </w:r>
    </w:p>
    <w:p w14:paraId="0EEE3B29">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（五）参赛运动员须达到2026年上海市田径二线体能测试赛准入标准分：</w:t>
      </w:r>
      <w:r>
        <w:rPr>
          <w:rFonts w:hint="eastAsia" w:ascii="仿宋" w:hAnsi="仿宋" w:eastAsia="仿宋"/>
          <w:sz w:val="28"/>
          <w:szCs w:val="28"/>
        </w:rPr>
        <w:t>男子A组</w:t>
      </w:r>
      <w:r>
        <w:rPr>
          <w:rFonts w:ascii="仿宋" w:hAnsi="仿宋" w:eastAsia="仿宋"/>
          <w:sz w:val="28"/>
          <w:szCs w:val="28"/>
        </w:rPr>
        <w:t>55</w:t>
      </w:r>
      <w:r>
        <w:rPr>
          <w:rFonts w:hint="eastAsia" w:ascii="仿宋" w:hAnsi="仿宋" w:eastAsia="仿宋"/>
          <w:sz w:val="28"/>
          <w:szCs w:val="28"/>
        </w:rPr>
        <w:t>分（撑竿跳高、铅球、跳远为</w:t>
      </w:r>
      <w:r>
        <w:rPr>
          <w:rFonts w:ascii="仿宋" w:hAnsi="仿宋" w:eastAsia="仿宋"/>
          <w:sz w:val="28"/>
          <w:szCs w:val="28"/>
        </w:rPr>
        <w:t>50</w:t>
      </w:r>
      <w:r>
        <w:rPr>
          <w:rFonts w:hint="eastAsia" w:ascii="仿宋" w:hAnsi="仿宋" w:eastAsia="仿宋"/>
          <w:sz w:val="28"/>
          <w:szCs w:val="28"/>
        </w:rPr>
        <w:t>分）；女子A组</w:t>
      </w:r>
      <w:r>
        <w:rPr>
          <w:rFonts w:ascii="仿宋" w:hAnsi="仿宋" w:eastAsia="仿宋"/>
          <w:sz w:val="28"/>
          <w:szCs w:val="28"/>
        </w:rPr>
        <w:t>55</w:t>
      </w:r>
      <w:r>
        <w:rPr>
          <w:rFonts w:hint="eastAsia" w:ascii="仿宋" w:hAnsi="仿宋" w:eastAsia="仿宋"/>
          <w:sz w:val="28"/>
          <w:szCs w:val="28"/>
        </w:rPr>
        <w:t>分（撑竿跳高、三级跳远、跳高为</w:t>
      </w:r>
      <w:r>
        <w:rPr>
          <w:rFonts w:ascii="仿宋" w:hAnsi="仿宋" w:eastAsia="仿宋"/>
          <w:sz w:val="28"/>
          <w:szCs w:val="28"/>
        </w:rPr>
        <w:t>50</w:t>
      </w:r>
      <w:r>
        <w:rPr>
          <w:rFonts w:hint="eastAsia" w:ascii="仿宋" w:hAnsi="仿宋" w:eastAsia="仿宋"/>
          <w:sz w:val="28"/>
          <w:szCs w:val="28"/>
        </w:rPr>
        <w:t>分）；男子B组</w:t>
      </w:r>
      <w:r>
        <w:rPr>
          <w:rFonts w:ascii="仿宋" w:hAnsi="仿宋" w:eastAsia="仿宋"/>
          <w:sz w:val="28"/>
          <w:szCs w:val="28"/>
        </w:rPr>
        <w:t>50</w:t>
      </w:r>
      <w:r>
        <w:rPr>
          <w:rFonts w:hint="eastAsia" w:ascii="仿宋" w:hAnsi="仿宋" w:eastAsia="仿宋"/>
          <w:sz w:val="28"/>
          <w:szCs w:val="28"/>
        </w:rPr>
        <w:t>分（标枪、跳高、铁饼， 撑竿跳高，为</w:t>
      </w:r>
      <w:r>
        <w:rPr>
          <w:rFonts w:ascii="仿宋" w:hAnsi="仿宋" w:eastAsia="仿宋"/>
          <w:sz w:val="28"/>
          <w:szCs w:val="28"/>
        </w:rPr>
        <w:t>45</w:t>
      </w:r>
      <w:r>
        <w:rPr>
          <w:rFonts w:hint="eastAsia" w:ascii="仿宋" w:hAnsi="仿宋" w:eastAsia="仿宋"/>
          <w:sz w:val="28"/>
          <w:szCs w:val="28"/>
        </w:rPr>
        <w:t>分）；女子B组径赛为</w:t>
      </w:r>
      <w:r>
        <w:rPr>
          <w:rFonts w:ascii="仿宋" w:hAnsi="仿宋" w:eastAsia="仿宋"/>
          <w:sz w:val="28"/>
          <w:szCs w:val="28"/>
        </w:rPr>
        <w:t>50</w:t>
      </w:r>
      <w:r>
        <w:rPr>
          <w:rFonts w:hint="eastAsia" w:ascii="仿宋" w:hAnsi="仿宋" w:eastAsia="仿宋"/>
          <w:sz w:val="28"/>
          <w:szCs w:val="28"/>
        </w:rPr>
        <w:t>分，田赛为</w:t>
      </w:r>
      <w:r>
        <w:rPr>
          <w:rFonts w:ascii="仿宋" w:hAnsi="仿宋" w:eastAsia="仿宋"/>
          <w:sz w:val="28"/>
          <w:szCs w:val="28"/>
        </w:rPr>
        <w:t>45</w:t>
      </w:r>
      <w:r>
        <w:rPr>
          <w:rFonts w:hint="eastAsia" w:ascii="仿宋" w:hAnsi="仿宋" w:eastAsia="仿宋"/>
          <w:sz w:val="28"/>
          <w:szCs w:val="28"/>
        </w:rPr>
        <w:t>分；男子C组</w:t>
      </w:r>
      <w:r>
        <w:rPr>
          <w:rFonts w:ascii="仿宋" w:hAnsi="仿宋" w:eastAsia="仿宋"/>
          <w:sz w:val="28"/>
          <w:szCs w:val="28"/>
        </w:rPr>
        <w:t>45</w:t>
      </w:r>
      <w:r>
        <w:rPr>
          <w:rFonts w:hint="eastAsia" w:ascii="仿宋" w:hAnsi="仿宋" w:eastAsia="仿宋"/>
          <w:sz w:val="28"/>
          <w:szCs w:val="28"/>
        </w:rPr>
        <w:t>分（铅球、跳高、跳远，为</w:t>
      </w:r>
      <w:r>
        <w:rPr>
          <w:rFonts w:ascii="仿宋" w:hAnsi="仿宋" w:eastAsia="仿宋"/>
          <w:sz w:val="28"/>
          <w:szCs w:val="28"/>
        </w:rPr>
        <w:t>40</w:t>
      </w:r>
      <w:r>
        <w:rPr>
          <w:rFonts w:hint="eastAsia" w:ascii="仿宋" w:hAnsi="仿宋" w:eastAsia="仿宋"/>
          <w:sz w:val="28"/>
          <w:szCs w:val="28"/>
        </w:rPr>
        <w:t>分）；女子C组</w:t>
      </w:r>
      <w:r>
        <w:rPr>
          <w:rFonts w:ascii="仿宋" w:hAnsi="仿宋" w:eastAsia="仿宋"/>
          <w:sz w:val="28"/>
          <w:szCs w:val="28"/>
        </w:rPr>
        <w:t>45</w:t>
      </w:r>
      <w:r>
        <w:rPr>
          <w:rFonts w:hint="eastAsia" w:ascii="仿宋" w:hAnsi="仿宋" w:eastAsia="仿宋"/>
          <w:sz w:val="28"/>
          <w:szCs w:val="28"/>
        </w:rPr>
        <w:t>分（跨栏、铅球，为</w:t>
      </w:r>
      <w:r>
        <w:rPr>
          <w:rFonts w:ascii="仿宋" w:hAnsi="仿宋" w:eastAsia="仿宋"/>
          <w:sz w:val="28"/>
          <w:szCs w:val="28"/>
        </w:rPr>
        <w:t>40</w:t>
      </w:r>
      <w:r>
        <w:rPr>
          <w:rFonts w:hint="eastAsia" w:ascii="仿宋" w:hAnsi="仿宋" w:eastAsia="仿宋"/>
          <w:sz w:val="28"/>
          <w:szCs w:val="28"/>
        </w:rPr>
        <w:t>分）</w:t>
      </w:r>
      <w:r>
        <w:rPr>
          <w:rFonts w:hint="eastAsia" w:ascii="仿宋" w:hAnsi="仿宋" w:eastAsia="仿宋" w:cs="仿宋"/>
          <w:sz w:val="28"/>
          <w:szCs w:val="28"/>
        </w:rPr>
        <w:t>，方可参赛。2008年9月1日至2008年12月31日出生运动员和在系列赛中使用机动名额运动员除外。</w:t>
      </w:r>
    </w:p>
    <w:p w14:paraId="4EED1851">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六）按照市体育局《上海市体育后备人才输送认定办法》（沪体青〔2023〕72号），已被认定为向一线输送或等同于向一线输送的运动员均不得参加本届运动会。上述运动员的认定以本届运动会第二次报名前市体育局、市人力资源社会保障局有关文件及相关证明材料为准。</w:t>
      </w:r>
    </w:p>
    <w:p w14:paraId="78CAA7D9">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（七）2026年已在外省市注册或代表外省市在国家体育总局注册的运动员不得参加比赛，经上海市体育局批准同意交流至外省市的运动员除外。</w:t>
      </w:r>
    </w:p>
    <w:p w14:paraId="11963A87">
      <w:pPr>
        <w:numPr>
          <w:ilvl w:val="255"/>
          <w:numId w:val="0"/>
        </w:numPr>
        <w:spacing w:line="540" w:lineRule="exact"/>
        <w:ind w:firstLine="544" w:firstLineChars="200"/>
        <w:rPr>
          <w:rFonts w:ascii="仿宋" w:hAnsi="仿宋" w:eastAsia="仿宋" w:cs="仿宋"/>
          <w:spacing w:val="-4"/>
          <w:sz w:val="28"/>
          <w:szCs w:val="28"/>
        </w:rPr>
      </w:pPr>
      <w:r>
        <w:rPr>
          <w:rFonts w:hint="eastAsia" w:ascii="仿宋" w:hAnsi="仿宋" w:eastAsia="仿宋" w:cs="仿宋"/>
          <w:spacing w:val="-4"/>
          <w:sz w:val="28"/>
          <w:szCs w:val="28"/>
        </w:rPr>
        <w:t>（八）本市市属青少年高水平运动队在编运动员代表注册单位参赛。</w:t>
      </w:r>
    </w:p>
    <w:p w14:paraId="4B5008E9">
      <w:pPr>
        <w:numPr>
          <w:ilvl w:val="255"/>
          <w:numId w:val="0"/>
        </w:numPr>
        <w:spacing w:line="540" w:lineRule="exact"/>
        <w:ind w:firstLine="544" w:firstLineChars="200"/>
        <w:rPr>
          <w:rFonts w:ascii="仿宋" w:hAnsi="仿宋" w:eastAsia="仿宋" w:cs="仿宋"/>
          <w:spacing w:val="-4"/>
          <w:sz w:val="28"/>
          <w:szCs w:val="28"/>
        </w:rPr>
      </w:pPr>
      <w:r>
        <w:rPr>
          <w:rFonts w:hint="eastAsia" w:ascii="仿宋" w:hAnsi="仿宋" w:eastAsia="仿宋" w:cs="仿宋"/>
          <w:spacing w:val="-4"/>
          <w:sz w:val="28"/>
          <w:szCs w:val="28"/>
        </w:rPr>
        <w:t>（九）</w:t>
      </w:r>
      <w:r>
        <w:rPr>
          <w:rFonts w:hint="eastAsia" w:ascii="仿宋" w:hAnsi="仿宋" w:eastAsia="仿宋" w:cs="仿宋"/>
          <w:sz w:val="28"/>
          <w:szCs w:val="28"/>
        </w:rPr>
        <w:t>经市教委、市体育局共同认定的上海市高中阶段学校引进优秀体育学生，于2026年7月10日前办理注册手续的，可直接参加本届运动会。</w:t>
      </w:r>
    </w:p>
    <w:p w14:paraId="6A273CE8">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九、参加办法（参赛办法、报名办法）</w:t>
      </w:r>
    </w:p>
    <w:p w14:paraId="4FEFC36F">
      <w:pPr>
        <w:numPr>
          <w:ilvl w:val="255"/>
          <w:numId w:val="0"/>
        </w:numPr>
        <w:spacing w:line="540" w:lineRule="exact"/>
        <w:ind w:firstLine="544" w:firstLineChars="200"/>
        <w:rPr>
          <w:rFonts w:ascii="仿宋" w:hAnsi="仿宋" w:eastAsia="仿宋" w:cs="仿宋"/>
          <w:spacing w:val="-4"/>
          <w:sz w:val="28"/>
          <w:szCs w:val="28"/>
        </w:rPr>
      </w:pPr>
      <w:r>
        <w:rPr>
          <w:rFonts w:hint="eastAsia" w:ascii="仿宋" w:hAnsi="仿宋" w:eastAsia="仿宋" w:cs="仿宋"/>
          <w:spacing w:val="-4"/>
          <w:sz w:val="28"/>
          <w:szCs w:val="28"/>
        </w:rPr>
        <w:t>（一）各单位以区为单位组队报名，可报领队1人，教练员1</w:t>
      </w:r>
      <w:r>
        <w:rPr>
          <w:rFonts w:hint="eastAsia" w:ascii="仿宋" w:hAnsi="仿宋" w:eastAsia="仿宋"/>
          <w:sz w:val="28"/>
          <w:szCs w:val="28"/>
        </w:rPr>
        <w:t>—</w:t>
      </w:r>
      <w:r>
        <w:rPr>
          <w:rFonts w:hint="eastAsia" w:ascii="仿宋" w:hAnsi="仿宋" w:eastAsia="仿宋" w:cs="仿宋"/>
          <w:spacing w:val="-4"/>
          <w:sz w:val="28"/>
          <w:szCs w:val="28"/>
        </w:rPr>
        <w:t>20人。A、B、C 组运动员依据精英系列赛田径总决赛暨市锦标赛暨市运会预赛有效成绩排名报名，规则如下：</w:t>
      </w:r>
    </w:p>
    <w:p w14:paraId="5C15FFE4">
      <w:pPr>
        <w:numPr>
          <w:ilvl w:val="255"/>
          <w:numId w:val="0"/>
        </w:numPr>
        <w:spacing w:line="540" w:lineRule="exact"/>
        <w:ind w:firstLine="544" w:firstLineChars="200"/>
        <w:rPr>
          <w:rFonts w:ascii="仿宋" w:hAnsi="仿宋" w:eastAsia="仿宋" w:cs="仿宋"/>
          <w:spacing w:val="-4"/>
          <w:sz w:val="28"/>
          <w:szCs w:val="28"/>
        </w:rPr>
      </w:pPr>
      <w:r>
        <w:rPr>
          <w:rFonts w:hint="eastAsia" w:ascii="仿宋" w:hAnsi="仿宋" w:eastAsia="仿宋" w:cs="仿宋"/>
          <w:spacing w:val="-4"/>
          <w:sz w:val="28"/>
          <w:szCs w:val="28"/>
        </w:rPr>
        <w:t>1.晋级录取名额</w:t>
      </w:r>
    </w:p>
    <w:p w14:paraId="370C34CA">
      <w:pPr>
        <w:numPr>
          <w:ilvl w:val="255"/>
          <w:numId w:val="0"/>
        </w:numPr>
        <w:spacing w:line="540" w:lineRule="exact"/>
        <w:ind w:firstLine="544" w:firstLineChars="200"/>
        <w:rPr>
          <w:rFonts w:ascii="仿宋" w:hAnsi="仿宋" w:eastAsia="仿宋" w:cs="仿宋"/>
          <w:spacing w:val="-4"/>
          <w:sz w:val="28"/>
          <w:szCs w:val="28"/>
        </w:rPr>
      </w:pPr>
      <w:r>
        <w:rPr>
          <w:rFonts w:hint="eastAsia" w:ascii="仿宋" w:hAnsi="仿宋" w:eastAsia="仿宋" w:cs="仿宋"/>
          <w:spacing w:val="-4"/>
          <w:sz w:val="28"/>
          <w:szCs w:val="28"/>
        </w:rPr>
        <w:t>（1）径赛单项：各组别录取前 16 名（含第 16 名），参赛人数不足 16 人按有效成绩全部录取；</w:t>
      </w:r>
    </w:p>
    <w:p w14:paraId="09DE2442">
      <w:pPr>
        <w:numPr>
          <w:ilvl w:val="255"/>
          <w:numId w:val="0"/>
        </w:numPr>
        <w:spacing w:line="540" w:lineRule="exact"/>
        <w:ind w:firstLine="544" w:firstLineChars="200"/>
        <w:rPr>
          <w:rFonts w:ascii="仿宋" w:hAnsi="仿宋" w:eastAsia="仿宋" w:cs="仿宋"/>
          <w:spacing w:val="-4"/>
          <w:sz w:val="28"/>
          <w:szCs w:val="28"/>
        </w:rPr>
      </w:pPr>
      <w:r>
        <w:rPr>
          <w:rFonts w:hint="eastAsia" w:ascii="仿宋" w:hAnsi="仿宋" w:eastAsia="仿宋" w:cs="仿宋"/>
          <w:spacing w:val="-4"/>
          <w:sz w:val="28"/>
          <w:szCs w:val="28"/>
        </w:rPr>
        <w:t>（2）径赛接力：各组别录取前 8 名（含第 8 名），按队伍晋级；</w:t>
      </w:r>
    </w:p>
    <w:p w14:paraId="6FF14AA6">
      <w:pPr>
        <w:numPr>
          <w:ilvl w:val="255"/>
          <w:numId w:val="0"/>
        </w:numPr>
        <w:spacing w:line="540" w:lineRule="exact"/>
        <w:ind w:firstLine="544" w:firstLineChars="200"/>
        <w:rPr>
          <w:rFonts w:ascii="仿宋" w:hAnsi="仿宋" w:eastAsia="仿宋" w:cs="仿宋"/>
          <w:spacing w:val="-4"/>
          <w:sz w:val="28"/>
          <w:szCs w:val="28"/>
        </w:rPr>
      </w:pPr>
      <w:r>
        <w:rPr>
          <w:rFonts w:hint="eastAsia" w:ascii="仿宋" w:hAnsi="仿宋" w:eastAsia="仿宋" w:cs="仿宋"/>
          <w:spacing w:val="-4"/>
          <w:sz w:val="28"/>
          <w:szCs w:val="28"/>
        </w:rPr>
        <w:t>（3）田赛单项：各组别录取前 12 名（含第 12 名），参赛人数不足 12 人按有效成绩全部录取；</w:t>
      </w:r>
    </w:p>
    <w:p w14:paraId="5D781DFE">
      <w:pPr>
        <w:numPr>
          <w:ilvl w:val="255"/>
          <w:numId w:val="0"/>
        </w:numPr>
        <w:spacing w:line="540" w:lineRule="exact"/>
        <w:ind w:firstLine="544" w:firstLineChars="200"/>
        <w:rPr>
          <w:rFonts w:ascii="仿宋" w:hAnsi="仿宋" w:eastAsia="仿宋" w:cs="仿宋"/>
          <w:spacing w:val="-4"/>
          <w:sz w:val="28"/>
          <w:szCs w:val="28"/>
        </w:rPr>
      </w:pPr>
      <w:r>
        <w:rPr>
          <w:rFonts w:hint="eastAsia" w:ascii="仿宋" w:hAnsi="仿宋" w:eastAsia="仿宋" w:cs="仿宋"/>
          <w:spacing w:val="-4"/>
          <w:sz w:val="28"/>
          <w:szCs w:val="28"/>
        </w:rPr>
        <w:t>（4）全能项目：各组别录取前 8 名（含第 8 名），参赛人数不足 8 人按有效成绩全部录取，且全能项目不得兼报其他单项，接力项目除外。</w:t>
      </w:r>
    </w:p>
    <w:p w14:paraId="64C9E14F">
      <w:pPr>
        <w:numPr>
          <w:ilvl w:val="255"/>
          <w:numId w:val="0"/>
        </w:numPr>
        <w:spacing w:line="540" w:lineRule="exact"/>
        <w:ind w:firstLine="544" w:firstLineChars="200"/>
        <w:rPr>
          <w:rFonts w:ascii="仿宋" w:hAnsi="仿宋" w:eastAsia="仿宋" w:cs="仿宋"/>
          <w:spacing w:val="-4"/>
          <w:sz w:val="28"/>
          <w:szCs w:val="28"/>
        </w:rPr>
      </w:pPr>
      <w:r>
        <w:rPr>
          <w:rFonts w:hint="eastAsia" w:ascii="仿宋" w:hAnsi="仿宋" w:eastAsia="仿宋" w:cs="仿宋"/>
          <w:spacing w:val="-4"/>
          <w:sz w:val="28"/>
          <w:szCs w:val="28"/>
        </w:rPr>
        <w:t>2.报项规定</w:t>
      </w:r>
    </w:p>
    <w:p w14:paraId="6A355337">
      <w:pPr>
        <w:numPr>
          <w:ilvl w:val="255"/>
          <w:numId w:val="0"/>
        </w:numPr>
        <w:spacing w:line="540" w:lineRule="exact"/>
        <w:ind w:firstLine="544" w:firstLineChars="200"/>
        <w:rPr>
          <w:rFonts w:ascii="仿宋" w:hAnsi="仿宋" w:eastAsia="仿宋" w:cs="仿宋"/>
          <w:spacing w:val="-4"/>
          <w:sz w:val="28"/>
          <w:szCs w:val="28"/>
        </w:rPr>
      </w:pPr>
      <w:r>
        <w:rPr>
          <w:rFonts w:hint="eastAsia" w:ascii="仿宋" w:hAnsi="仿宋" w:eastAsia="仿宋" w:cs="仿宋"/>
          <w:spacing w:val="-4"/>
          <w:sz w:val="28"/>
          <w:szCs w:val="28"/>
        </w:rPr>
        <w:t>（1）个人项目：运动员仅可报名预赛中取得有效名次的对应小项，严禁跨项报名；</w:t>
      </w:r>
    </w:p>
    <w:p w14:paraId="10901A39">
      <w:pPr>
        <w:numPr>
          <w:ilvl w:val="255"/>
          <w:numId w:val="0"/>
        </w:numPr>
        <w:spacing w:line="540" w:lineRule="exact"/>
        <w:ind w:firstLine="544" w:firstLineChars="200"/>
        <w:rPr>
          <w:rFonts w:ascii="仿宋" w:hAnsi="仿宋" w:eastAsia="仿宋" w:cs="仿宋"/>
          <w:spacing w:val="-4"/>
          <w:sz w:val="28"/>
          <w:szCs w:val="28"/>
        </w:rPr>
      </w:pPr>
      <w:r>
        <w:rPr>
          <w:rFonts w:hint="eastAsia" w:ascii="仿宋" w:hAnsi="仿宋" w:eastAsia="仿宋" w:cs="仿宋"/>
          <w:spacing w:val="-4"/>
          <w:sz w:val="28"/>
          <w:szCs w:val="28"/>
        </w:rPr>
        <w:t>（2）接力项目：接力项目以队伍为单位获得晋级资格，晋级队伍可更换参赛运动员，更换队员须符合参赛资格相关要求。</w:t>
      </w:r>
    </w:p>
    <w:p w14:paraId="7676188E">
      <w:pPr>
        <w:numPr>
          <w:ilvl w:val="255"/>
          <w:numId w:val="0"/>
        </w:numPr>
        <w:spacing w:line="540" w:lineRule="exact"/>
        <w:ind w:firstLine="544" w:firstLineChars="200"/>
        <w:rPr>
          <w:rFonts w:ascii="仿宋" w:hAnsi="仿宋" w:eastAsia="仿宋" w:cs="仿宋"/>
          <w:spacing w:val="-4"/>
          <w:sz w:val="28"/>
          <w:szCs w:val="28"/>
        </w:rPr>
      </w:pPr>
      <w:r>
        <w:rPr>
          <w:rFonts w:hint="eastAsia" w:ascii="仿宋" w:hAnsi="仿宋" w:eastAsia="仿宋" w:cs="仿宋"/>
          <w:spacing w:val="-4"/>
          <w:sz w:val="28"/>
          <w:szCs w:val="28"/>
        </w:rPr>
        <w:t>（二）2008年9月1日至2008年12月31日出生运动员：</w:t>
      </w:r>
    </w:p>
    <w:p w14:paraId="52B4027B">
      <w:pPr>
        <w:spacing w:line="540" w:lineRule="exact"/>
        <w:ind w:firstLine="544" w:firstLineChars="200"/>
        <w:rPr>
          <w:rFonts w:ascii="仿宋" w:hAnsi="仿宋" w:eastAsia="仿宋" w:cs="仿宋"/>
          <w:spacing w:val="-4"/>
          <w:sz w:val="28"/>
          <w:szCs w:val="28"/>
        </w:rPr>
      </w:pPr>
      <w:r>
        <w:rPr>
          <w:rFonts w:hint="eastAsia" w:ascii="仿宋" w:hAnsi="仿宋" w:eastAsia="仿宋" w:cs="仿宋"/>
          <w:spacing w:val="-4"/>
          <w:sz w:val="28"/>
          <w:szCs w:val="28"/>
        </w:rPr>
        <w:t>该年龄段运动员凭“精英系列赛田径总决赛暨市锦标赛暨市运会预赛”有效成绩录取，如该年龄段运动员的有效成绩优于A组成绩排名，则并列录取，录取办法按照（径赛、田赛）项目执行（如器械规格不同的项目，凭有效成绩直接录取）。</w:t>
      </w:r>
    </w:p>
    <w:p w14:paraId="2B2ACCB7">
      <w:pPr>
        <w:spacing w:line="540" w:lineRule="exact"/>
        <w:ind w:firstLine="544" w:firstLineChars="200"/>
        <w:rPr>
          <w:rFonts w:ascii="仿宋" w:hAnsi="仿宋" w:eastAsia="仿宋" w:cs="仿宋"/>
          <w:spacing w:val="-4"/>
          <w:sz w:val="28"/>
          <w:szCs w:val="28"/>
        </w:rPr>
      </w:pPr>
      <w:r>
        <w:rPr>
          <w:rFonts w:hint="eastAsia" w:ascii="仿宋" w:hAnsi="仿宋" w:eastAsia="仿宋" w:cs="仿宋"/>
          <w:spacing w:val="-4"/>
          <w:sz w:val="28"/>
          <w:szCs w:val="28"/>
        </w:rPr>
        <w:t>（三）经市教委，市体育局共同认定的上海市高中阶段学校引进优秀体育学生，于2026年7月10日前办理注册手续的，可直接参加本届运动会，限报2个单项。</w:t>
      </w:r>
    </w:p>
    <w:p w14:paraId="529C22F3">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（四）</w:t>
      </w:r>
      <w:r>
        <w:rPr>
          <w:rFonts w:hint="eastAsia" w:ascii="仿宋" w:hAnsi="仿宋" w:eastAsia="仿宋"/>
          <w:sz w:val="28"/>
          <w:szCs w:val="28"/>
        </w:rPr>
        <w:t>各组别市内交流运动员报名人数不得超过实际报名人数的30%（按四舍五入计）。</w:t>
      </w:r>
    </w:p>
    <w:p w14:paraId="213C36AF">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五）参赛单位通过大会指定的网站www.aijingsai.cn（上海青少年体育赛事网）进行网上报名，并在规定时间内将导出打印的报名表加盖公章后，一式两份报大会组委会竞赛部（地址：徐汇区零陵路800号8楼，竞赛部，31211118）。</w:t>
      </w:r>
    </w:p>
    <w:p w14:paraId="0A4530B5">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十、竞赛办法</w:t>
      </w:r>
    </w:p>
    <w:p w14:paraId="3C024134">
      <w:pPr>
        <w:adjustRightInd w:val="0"/>
        <w:snapToGrid w:val="0"/>
        <w:spacing w:line="540" w:lineRule="exact"/>
        <w:ind w:firstLine="560" w:firstLineChars="200"/>
        <w:rPr>
          <w:rFonts w:ascii="仿宋" w:hAnsi="仿宋" w:eastAsia="仿宋"/>
          <w:sz w:val="28"/>
          <w:szCs w:val="28"/>
        </w:rPr>
      </w:pPr>
      <w:r>
        <w:rPr>
          <w:rFonts w:hint="eastAsia" w:ascii="仿宋" w:hAnsi="仿宋" w:eastAsia="仿宋"/>
          <w:sz w:val="28"/>
          <w:szCs w:val="28"/>
        </w:rPr>
        <w:t>（一）采用中国田径协会审定的《田径竞赛与技术规则2025》</w:t>
      </w:r>
      <w:r>
        <w:rPr>
          <w:rFonts w:hint="eastAsia" w:ascii="仿宋" w:hAnsi="仿宋" w:eastAsia="仿宋" w:cs="仿宋_GB2312"/>
          <w:sz w:val="28"/>
          <w:szCs w:val="28"/>
        </w:rPr>
        <w:t>及本次比赛的竞赛规程和有关规定执行。</w:t>
      </w:r>
    </w:p>
    <w:p w14:paraId="6AA6B6B5">
      <w:pPr>
        <w:pStyle w:val="18"/>
        <w:adjustRightInd w:val="0"/>
        <w:snapToGrid w:val="0"/>
        <w:spacing w:line="540" w:lineRule="exact"/>
        <w:ind w:firstLine="560"/>
        <w:rPr>
          <w:rFonts w:ascii="仿宋" w:hAnsi="仿宋" w:eastAsia="仿宋"/>
          <w:sz w:val="28"/>
          <w:szCs w:val="28"/>
        </w:rPr>
      </w:pPr>
      <w:r>
        <w:rPr>
          <w:rFonts w:hint="eastAsia" w:ascii="仿宋" w:hAnsi="仿宋" w:eastAsia="仿宋"/>
          <w:sz w:val="28"/>
          <w:szCs w:val="28"/>
        </w:rPr>
        <w:t>（二）径赛分道项目参加人数不超过</w:t>
      </w:r>
      <w:r>
        <w:rPr>
          <w:rFonts w:ascii="仿宋" w:hAnsi="仿宋" w:eastAsia="仿宋"/>
          <w:sz w:val="28"/>
          <w:szCs w:val="28"/>
        </w:rPr>
        <w:t>8</w:t>
      </w:r>
      <w:r>
        <w:rPr>
          <w:rFonts w:hint="eastAsia" w:ascii="仿宋" w:hAnsi="仿宋" w:eastAsia="仿宋"/>
          <w:sz w:val="28"/>
          <w:szCs w:val="28"/>
        </w:rPr>
        <w:t>人（含</w:t>
      </w:r>
      <w:r>
        <w:rPr>
          <w:rFonts w:ascii="仿宋" w:hAnsi="仿宋" w:eastAsia="仿宋"/>
          <w:sz w:val="28"/>
          <w:szCs w:val="28"/>
        </w:rPr>
        <w:t>8</w:t>
      </w:r>
      <w:r>
        <w:rPr>
          <w:rFonts w:hint="eastAsia" w:ascii="仿宋" w:hAnsi="仿宋" w:eastAsia="仿宋"/>
          <w:sz w:val="28"/>
          <w:szCs w:val="28"/>
        </w:rPr>
        <w:t>人）只安排决赛，按成绩排列名次。超过</w:t>
      </w:r>
      <w:r>
        <w:rPr>
          <w:rFonts w:ascii="仿宋" w:hAnsi="仿宋" w:eastAsia="仿宋"/>
          <w:sz w:val="28"/>
          <w:szCs w:val="28"/>
        </w:rPr>
        <w:t>8</w:t>
      </w:r>
      <w:r>
        <w:rPr>
          <w:rFonts w:hint="eastAsia" w:ascii="仿宋" w:hAnsi="仿宋" w:eastAsia="仿宋"/>
          <w:sz w:val="28"/>
          <w:szCs w:val="28"/>
        </w:rPr>
        <w:t>人安排预决赛，取预赛成绩前</w:t>
      </w:r>
      <w:r>
        <w:rPr>
          <w:rFonts w:ascii="仿宋" w:hAnsi="仿宋" w:eastAsia="仿宋"/>
          <w:sz w:val="28"/>
          <w:szCs w:val="28"/>
        </w:rPr>
        <w:t>8</w:t>
      </w:r>
      <w:r>
        <w:rPr>
          <w:rFonts w:hint="eastAsia" w:ascii="仿宋" w:hAnsi="仿宋" w:eastAsia="仿宋"/>
          <w:sz w:val="28"/>
          <w:szCs w:val="28"/>
        </w:rPr>
        <w:t>名参加决赛，以决赛成绩排列名次。径赛不分道项目及各项接力只安排决赛，按成绩排列名次。</w:t>
      </w:r>
    </w:p>
    <w:p w14:paraId="09DAFAF1">
      <w:pPr>
        <w:spacing w:line="540" w:lineRule="exact"/>
        <w:ind w:firstLine="560" w:firstLineChars="200"/>
        <w:rPr>
          <w:rFonts w:ascii="仿宋" w:hAnsi="仿宋" w:eastAsia="仿宋"/>
          <w:sz w:val="28"/>
          <w:szCs w:val="28"/>
        </w:rPr>
      </w:pPr>
      <w:r>
        <w:rPr>
          <w:rFonts w:hint="eastAsia" w:ascii="仿宋" w:hAnsi="仿宋" w:eastAsia="仿宋"/>
          <w:sz w:val="28"/>
          <w:szCs w:val="28"/>
        </w:rPr>
        <w:t>（三）各组别各项目</w:t>
      </w:r>
      <w:r>
        <w:rPr>
          <w:rFonts w:hint="eastAsia" w:ascii="仿宋" w:hAnsi="仿宋" w:eastAsia="仿宋" w:cs="仿宋"/>
          <w:sz w:val="28"/>
          <w:szCs w:val="28"/>
        </w:rPr>
        <w:t>参赛人（队）数少于2个参赛单位3人（队），均不安排比赛。</w:t>
      </w:r>
    </w:p>
    <w:p w14:paraId="33D31EA5">
      <w:pPr>
        <w:pStyle w:val="18"/>
        <w:adjustRightInd w:val="0"/>
        <w:snapToGrid w:val="0"/>
        <w:spacing w:line="540" w:lineRule="exact"/>
        <w:ind w:firstLine="560"/>
        <w:rPr>
          <w:rFonts w:ascii="仿宋" w:hAnsi="仿宋" w:eastAsia="仿宋" w:cs="仿宋_GB2312"/>
          <w:sz w:val="28"/>
          <w:szCs w:val="28"/>
        </w:rPr>
      </w:pPr>
      <w:r>
        <w:rPr>
          <w:rFonts w:ascii="仿宋" w:hAnsi="仿宋" w:eastAsia="仿宋"/>
          <w:sz w:val="28"/>
          <w:szCs w:val="28"/>
        </w:rPr>
        <w:t>（四）比赛检录时，运动员必须提交202</w:t>
      </w:r>
      <w:r>
        <w:rPr>
          <w:rFonts w:hint="eastAsia" w:ascii="仿宋" w:hAnsi="仿宋" w:eastAsia="仿宋"/>
          <w:sz w:val="28"/>
          <w:szCs w:val="28"/>
        </w:rPr>
        <w:t>6</w:t>
      </w:r>
      <w:r>
        <w:rPr>
          <w:rFonts w:ascii="仿宋" w:hAnsi="仿宋" w:eastAsia="仿宋"/>
          <w:sz w:val="28"/>
          <w:szCs w:val="28"/>
        </w:rPr>
        <w:t>年</w:t>
      </w:r>
      <w:r>
        <w:rPr>
          <w:rFonts w:hint="eastAsia" w:ascii="仿宋" w:hAnsi="仿宋" w:eastAsia="仿宋" w:cs="仿宋_GB2312"/>
          <w:sz w:val="28"/>
          <w:szCs w:val="28"/>
        </w:rPr>
        <w:t>《上海市青少年运动员参赛卡》，否则不能参加比赛。</w:t>
      </w:r>
    </w:p>
    <w:p w14:paraId="4AA818D8">
      <w:pPr>
        <w:pStyle w:val="18"/>
        <w:adjustRightInd w:val="0"/>
        <w:snapToGrid w:val="0"/>
        <w:spacing w:line="540" w:lineRule="exact"/>
        <w:ind w:firstLine="560"/>
        <w:rPr>
          <w:rFonts w:ascii="仿宋" w:hAnsi="仿宋" w:eastAsia="仿宋"/>
          <w:sz w:val="28"/>
          <w:szCs w:val="28"/>
        </w:rPr>
      </w:pPr>
      <w:r>
        <w:rPr>
          <w:rFonts w:ascii="仿宋" w:hAnsi="仿宋" w:eastAsia="仿宋"/>
          <w:sz w:val="28"/>
          <w:szCs w:val="28"/>
        </w:rPr>
        <w:t>（五）</w:t>
      </w:r>
      <w:r>
        <w:rPr>
          <w:rFonts w:hint="eastAsia" w:ascii="仿宋" w:hAnsi="仿宋" w:eastAsia="仿宋"/>
          <w:sz w:val="28"/>
          <w:szCs w:val="28"/>
        </w:rPr>
        <w:t>运动员必须按要求佩戴好统一发放的号码布，否则不得参加比赛。</w:t>
      </w:r>
    </w:p>
    <w:p w14:paraId="5F517E89">
      <w:pPr>
        <w:pStyle w:val="18"/>
        <w:adjustRightInd w:val="0"/>
        <w:snapToGrid w:val="0"/>
        <w:spacing w:line="540" w:lineRule="exact"/>
        <w:ind w:firstLine="560"/>
        <w:rPr>
          <w:rFonts w:ascii="仿宋" w:hAnsi="仿宋" w:eastAsia="仿宋"/>
          <w:sz w:val="28"/>
          <w:szCs w:val="28"/>
        </w:rPr>
      </w:pPr>
      <w:r>
        <w:rPr>
          <w:rFonts w:ascii="仿宋" w:hAnsi="仿宋" w:eastAsia="仿宋"/>
          <w:sz w:val="28"/>
          <w:szCs w:val="28"/>
        </w:rPr>
        <w:t>（六）</w:t>
      </w:r>
      <w:r>
        <w:rPr>
          <w:rFonts w:hint="eastAsia" w:ascii="仿宋" w:hAnsi="仿宋" w:eastAsia="仿宋"/>
          <w:sz w:val="28"/>
          <w:szCs w:val="28"/>
        </w:rPr>
        <w:t>兴奋剂检查按照上海市体育局有关规定执行。</w:t>
      </w:r>
    </w:p>
    <w:p w14:paraId="7023642C">
      <w:pPr>
        <w:adjustRightInd w:val="0"/>
        <w:snapToGrid w:val="0"/>
        <w:spacing w:line="540" w:lineRule="exact"/>
        <w:ind w:firstLine="560" w:firstLineChars="200"/>
        <w:rPr>
          <w:rFonts w:ascii="仿宋" w:hAnsi="仿宋" w:eastAsia="仿宋" w:cs="仿宋_GB2312"/>
          <w:sz w:val="28"/>
          <w:szCs w:val="28"/>
        </w:rPr>
      </w:pPr>
      <w:r>
        <w:rPr>
          <w:rFonts w:hint="eastAsia" w:ascii="仿宋" w:hAnsi="仿宋" w:eastAsia="仿宋"/>
          <w:sz w:val="28"/>
          <w:szCs w:val="28"/>
        </w:rPr>
        <w:t>（七）</w:t>
      </w:r>
      <w:r>
        <w:rPr>
          <w:rFonts w:hint="eastAsia" w:ascii="仿宋" w:hAnsi="仿宋" w:eastAsia="仿宋" w:cs="仿宋_GB2312"/>
          <w:sz w:val="28"/>
          <w:szCs w:val="28"/>
        </w:rPr>
        <w:t>运动员（队）在报名后，不得无故弃权。</w:t>
      </w:r>
    </w:p>
    <w:p w14:paraId="15D2C012">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十一、录取名次、计牌计分和奖励办法</w:t>
      </w:r>
    </w:p>
    <w:p w14:paraId="75E0394D">
      <w:pPr>
        <w:adjustRightInd w:val="0"/>
        <w:snapToGrid w:val="0"/>
        <w:spacing w:line="540" w:lineRule="exact"/>
        <w:ind w:firstLine="560" w:firstLineChars="200"/>
        <w:rPr>
          <w:rFonts w:ascii="仿宋" w:hAnsi="仿宋" w:eastAsia="仿宋" w:cs="仿宋_GB2312"/>
          <w:bCs/>
          <w:sz w:val="28"/>
          <w:szCs w:val="28"/>
        </w:rPr>
      </w:pPr>
      <w:r>
        <w:rPr>
          <w:rFonts w:hint="eastAsia" w:ascii="仿宋" w:hAnsi="仿宋" w:eastAsia="仿宋" w:cs="仿宋_GB2312"/>
          <w:sz w:val="28"/>
          <w:szCs w:val="28"/>
        </w:rPr>
        <w:t>（一）各组别</w:t>
      </w:r>
      <w:r>
        <w:rPr>
          <w:rFonts w:hint="eastAsia" w:ascii="仿宋" w:hAnsi="仿宋" w:eastAsia="仿宋" w:cs="仿宋_GB2312"/>
          <w:bCs/>
          <w:sz w:val="28"/>
          <w:szCs w:val="28"/>
        </w:rPr>
        <w:t>录取前</w:t>
      </w:r>
      <w:r>
        <w:rPr>
          <w:rFonts w:ascii="仿宋" w:hAnsi="仿宋" w:eastAsia="仿宋" w:cs="仿宋_GB2312"/>
          <w:bCs/>
          <w:sz w:val="28"/>
          <w:szCs w:val="28"/>
        </w:rPr>
        <w:t>8</w:t>
      </w:r>
      <w:r>
        <w:rPr>
          <w:rFonts w:hint="eastAsia" w:ascii="仿宋" w:hAnsi="仿宋" w:eastAsia="仿宋" w:cs="仿宋_GB2312"/>
          <w:bCs/>
          <w:sz w:val="28"/>
          <w:szCs w:val="28"/>
        </w:rPr>
        <w:t>名，不足或等于</w:t>
      </w:r>
      <w:r>
        <w:rPr>
          <w:rFonts w:ascii="仿宋" w:hAnsi="仿宋" w:eastAsia="仿宋" w:cs="仿宋_GB2312"/>
          <w:bCs/>
          <w:sz w:val="28"/>
          <w:szCs w:val="28"/>
        </w:rPr>
        <w:t>8人（</w:t>
      </w:r>
      <w:r>
        <w:rPr>
          <w:rFonts w:hint="eastAsia" w:ascii="仿宋" w:hAnsi="仿宋" w:eastAsia="仿宋" w:cs="仿宋_GB2312"/>
          <w:bCs/>
          <w:sz w:val="28"/>
          <w:szCs w:val="28"/>
        </w:rPr>
        <w:t>队）参赛的，则按实际参赛人（队）数录取名次。</w:t>
      </w:r>
    </w:p>
    <w:p w14:paraId="0C350EA0">
      <w:pPr>
        <w:adjustRightInd w:val="0"/>
        <w:snapToGrid w:val="0"/>
        <w:spacing w:line="540" w:lineRule="exact"/>
        <w:ind w:firstLine="560" w:firstLineChars="200"/>
        <w:rPr>
          <w:rFonts w:ascii="仿宋" w:hAnsi="仿宋" w:eastAsia="仿宋" w:cs="仿宋_GB2312"/>
          <w:sz w:val="28"/>
          <w:szCs w:val="28"/>
        </w:rPr>
      </w:pPr>
      <w:r>
        <w:rPr>
          <w:rFonts w:hint="eastAsia" w:ascii="仿宋" w:hAnsi="仿宋" w:eastAsia="仿宋" w:cs="仿宋_GB2312"/>
          <w:bCs/>
          <w:sz w:val="28"/>
          <w:szCs w:val="28"/>
        </w:rPr>
        <w:t>（二）</w:t>
      </w:r>
      <w:r>
        <w:rPr>
          <w:rFonts w:hint="eastAsia" w:ascii="仿宋" w:hAnsi="仿宋" w:eastAsia="仿宋"/>
          <w:sz w:val="28"/>
          <w:szCs w:val="28"/>
        </w:rPr>
        <w:t>前八名依次按11、9、8、7、6、5、4、3计分，前三名依次按1金、1银、1铜计牌。</w:t>
      </w:r>
    </w:p>
    <w:p w14:paraId="3EA32F4F">
      <w:pPr>
        <w:adjustRightInd w:val="0"/>
        <w:snapToGrid w:val="0"/>
        <w:spacing w:line="540" w:lineRule="exact"/>
        <w:ind w:firstLine="560" w:firstLineChars="200"/>
        <w:rPr>
          <w:rFonts w:ascii="仿宋" w:hAnsi="仿宋" w:eastAsia="仿宋" w:cs="仿宋_GB2312"/>
          <w:bCs/>
          <w:sz w:val="28"/>
          <w:szCs w:val="28"/>
        </w:rPr>
      </w:pPr>
      <w:r>
        <w:rPr>
          <w:rFonts w:ascii="仿宋" w:hAnsi="仿宋" w:eastAsia="仿宋" w:cs="仿宋_GB2312"/>
          <w:bCs/>
          <w:sz w:val="28"/>
          <w:szCs w:val="28"/>
        </w:rPr>
        <w:t>（</w:t>
      </w:r>
      <w:r>
        <w:rPr>
          <w:rFonts w:hint="eastAsia" w:ascii="仿宋" w:hAnsi="仿宋" w:eastAsia="仿宋" w:cs="仿宋_GB2312"/>
          <w:bCs/>
          <w:sz w:val="28"/>
          <w:szCs w:val="28"/>
        </w:rPr>
        <w:t>三</w:t>
      </w:r>
      <w:r>
        <w:rPr>
          <w:rFonts w:ascii="仿宋" w:hAnsi="仿宋" w:eastAsia="仿宋" w:cs="仿宋_GB2312"/>
          <w:bCs/>
          <w:sz w:val="28"/>
          <w:szCs w:val="28"/>
        </w:rPr>
        <w:t>）B组（100米、200米、110米栏、100米栏、跳高、跳远）的第一名按2金22分进行计牌计分。</w:t>
      </w:r>
    </w:p>
    <w:p w14:paraId="5AE21EBC">
      <w:pPr>
        <w:adjustRightInd w:val="0"/>
        <w:snapToGrid w:val="0"/>
        <w:spacing w:line="540" w:lineRule="exact"/>
        <w:ind w:firstLine="560" w:firstLineChars="200"/>
        <w:rPr>
          <w:rFonts w:ascii="仿宋" w:hAnsi="仿宋" w:eastAsia="仿宋" w:cs="仿宋_GB2312"/>
          <w:bCs/>
          <w:sz w:val="28"/>
          <w:szCs w:val="28"/>
        </w:rPr>
      </w:pPr>
      <w:r>
        <w:rPr>
          <w:rFonts w:ascii="仿宋" w:hAnsi="仿宋" w:eastAsia="仿宋" w:cs="仿宋_GB2312"/>
          <w:bCs/>
          <w:sz w:val="28"/>
          <w:szCs w:val="28"/>
        </w:rPr>
        <w:t>（</w:t>
      </w:r>
      <w:r>
        <w:rPr>
          <w:rFonts w:hint="eastAsia" w:ascii="仿宋" w:hAnsi="仿宋" w:eastAsia="仿宋" w:cs="仿宋_GB2312"/>
          <w:bCs/>
          <w:sz w:val="28"/>
          <w:szCs w:val="28"/>
        </w:rPr>
        <w:t>四</w:t>
      </w:r>
      <w:r>
        <w:rPr>
          <w:rFonts w:ascii="仿宋" w:hAnsi="仿宋" w:eastAsia="仿宋" w:cs="仿宋_GB2312"/>
          <w:bCs/>
          <w:sz w:val="28"/>
          <w:szCs w:val="28"/>
        </w:rPr>
        <w:t>）如出现奖牌并列，将并列奖牌的下一个（或几个）名次空出。如出现名次并列，将并列名次的下一个（或几个）名次空出，空出名次的分值与获得名次的分值相加后的平均数，作为并列名次的所得分值，计入相关代表团；如录取名次的最后一个名次并列，该名次分平均分配计入相关代表团。</w:t>
      </w:r>
    </w:p>
    <w:p w14:paraId="1C69BBED">
      <w:pPr>
        <w:adjustRightInd w:val="0"/>
        <w:snapToGrid w:val="0"/>
        <w:spacing w:line="540" w:lineRule="exact"/>
        <w:ind w:firstLine="560" w:firstLineChars="200"/>
        <w:rPr>
          <w:rFonts w:ascii="仿宋" w:hAnsi="仿宋" w:eastAsia="仿宋" w:cs="仿宋_GB2312"/>
          <w:bCs/>
          <w:sz w:val="28"/>
          <w:szCs w:val="28"/>
        </w:rPr>
      </w:pPr>
      <w:r>
        <w:rPr>
          <w:rFonts w:ascii="仿宋" w:hAnsi="仿宋" w:eastAsia="仿宋" w:cs="仿宋_GB2312"/>
          <w:bCs/>
          <w:sz w:val="28"/>
          <w:szCs w:val="28"/>
        </w:rPr>
        <w:t>（</w:t>
      </w:r>
      <w:r>
        <w:rPr>
          <w:rFonts w:hint="eastAsia" w:ascii="仿宋" w:hAnsi="仿宋" w:eastAsia="仿宋" w:cs="仿宋_GB2312"/>
          <w:bCs/>
          <w:sz w:val="28"/>
          <w:szCs w:val="28"/>
        </w:rPr>
        <w:t>五</w:t>
      </w:r>
      <w:r>
        <w:rPr>
          <w:rFonts w:ascii="仿宋" w:hAnsi="仿宋" w:eastAsia="仿宋" w:cs="仿宋_GB2312"/>
          <w:bCs/>
          <w:sz w:val="28"/>
          <w:szCs w:val="28"/>
        </w:rPr>
        <w:t>）A、B、C组（</w:t>
      </w:r>
      <w:r>
        <w:rPr>
          <w:rFonts w:ascii="仿宋" w:hAnsi="仿宋" w:eastAsia="仿宋" w:cs="仿宋_GB2312"/>
          <w:bCs/>
          <w:sz w:val="28"/>
          <w:szCs w:val="28"/>
          <w:lang w:eastAsia="zh-CN"/>
        </w:rPr>
        <w:t>100</w:t>
      </w:r>
      <w:r>
        <w:rPr>
          <w:rFonts w:hint="eastAsia" w:ascii="仿宋" w:hAnsi="仿宋" w:eastAsia="仿宋" w:cs="仿宋_GB2312"/>
          <w:bCs/>
          <w:sz w:val="28"/>
          <w:szCs w:val="28"/>
          <w:lang w:eastAsia="zh-CN"/>
        </w:rPr>
        <w:t>米、</w:t>
      </w:r>
      <w:r>
        <w:rPr>
          <w:rFonts w:ascii="仿宋" w:hAnsi="仿宋" w:eastAsia="仿宋" w:cs="仿宋_GB2312"/>
          <w:bCs/>
          <w:sz w:val="28"/>
          <w:szCs w:val="28"/>
          <w:lang w:eastAsia="zh-CN"/>
        </w:rPr>
        <w:t>200</w:t>
      </w:r>
      <w:r>
        <w:rPr>
          <w:rFonts w:hint="eastAsia" w:ascii="仿宋" w:hAnsi="仿宋" w:eastAsia="仿宋" w:cs="仿宋_GB2312"/>
          <w:bCs/>
          <w:sz w:val="28"/>
          <w:szCs w:val="28"/>
          <w:lang w:eastAsia="zh-CN"/>
        </w:rPr>
        <w:t>米、</w:t>
      </w:r>
      <w:r>
        <w:rPr>
          <w:rFonts w:ascii="仿宋" w:hAnsi="仿宋" w:eastAsia="仿宋" w:cs="仿宋_GB2312"/>
          <w:bCs/>
          <w:sz w:val="28"/>
          <w:szCs w:val="28"/>
          <w:lang w:eastAsia="zh-CN"/>
        </w:rPr>
        <w:t>110</w:t>
      </w:r>
      <w:r>
        <w:rPr>
          <w:rFonts w:hint="eastAsia" w:ascii="仿宋" w:hAnsi="仿宋" w:eastAsia="仿宋" w:cs="仿宋_GB2312"/>
          <w:bCs/>
          <w:sz w:val="28"/>
          <w:szCs w:val="28"/>
          <w:lang w:eastAsia="zh-CN"/>
        </w:rPr>
        <w:t>米栏、</w:t>
      </w:r>
      <w:r>
        <w:rPr>
          <w:rFonts w:ascii="仿宋" w:hAnsi="仿宋" w:eastAsia="仿宋" w:cs="仿宋_GB2312"/>
          <w:bCs/>
          <w:sz w:val="28"/>
          <w:szCs w:val="28"/>
          <w:lang w:eastAsia="zh-CN"/>
        </w:rPr>
        <w:t>100</w:t>
      </w:r>
      <w:r>
        <w:rPr>
          <w:rFonts w:hint="eastAsia" w:ascii="仿宋" w:hAnsi="仿宋" w:eastAsia="仿宋" w:cs="仿宋_GB2312"/>
          <w:bCs/>
          <w:sz w:val="28"/>
          <w:szCs w:val="28"/>
          <w:lang w:eastAsia="zh-CN"/>
        </w:rPr>
        <w:t>米栏、跳高、跳远</w:t>
      </w:r>
      <w:r>
        <w:rPr>
          <w:rFonts w:ascii="仿宋" w:hAnsi="仿宋" w:eastAsia="仿宋" w:cs="仿宋_GB2312"/>
          <w:bCs/>
          <w:sz w:val="28"/>
          <w:szCs w:val="28"/>
        </w:rPr>
        <w:t>）比赛中达到一级及以上技术等级或破全国少年田径纪录者，另计1金11分。同一小项一人多次达级</w:t>
      </w:r>
      <w:r>
        <w:rPr>
          <w:rFonts w:hint="eastAsia" w:ascii="仿宋" w:hAnsi="仿宋" w:eastAsia="仿宋" w:cs="仿宋_GB2312"/>
          <w:bCs/>
          <w:sz w:val="28"/>
          <w:szCs w:val="28"/>
        </w:rPr>
        <w:t>或破纪录的</w:t>
      </w:r>
      <w:r>
        <w:rPr>
          <w:rFonts w:ascii="仿宋" w:hAnsi="仿宋" w:eastAsia="仿宋" w:cs="仿宋_GB2312"/>
          <w:bCs/>
          <w:sz w:val="28"/>
          <w:szCs w:val="28"/>
        </w:rPr>
        <w:t>，只计一次。</w:t>
      </w:r>
    </w:p>
    <w:p w14:paraId="6CDAFCD6">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（六）开展“体育道德风尚奖”评选活动，按照本届运动会竞赛规程总则的有关规定执行。</w:t>
      </w:r>
    </w:p>
    <w:p w14:paraId="28229E9F">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十二、申诉和纪律</w:t>
      </w:r>
    </w:p>
    <w:p w14:paraId="61535319">
      <w:pPr>
        <w:adjustRightInd w:val="0"/>
        <w:snapToGrid w:val="0"/>
        <w:spacing w:line="540" w:lineRule="exact"/>
        <w:ind w:firstLine="562" w:firstLineChars="200"/>
        <w:rPr>
          <w:rFonts w:ascii="仿宋" w:hAnsi="仿宋" w:eastAsia="仿宋" w:cs="仿宋_GB2312"/>
          <w:b/>
          <w:bCs w:val="0"/>
          <w:sz w:val="28"/>
          <w:szCs w:val="28"/>
        </w:rPr>
      </w:pPr>
      <w:r>
        <w:rPr>
          <w:rFonts w:hint="eastAsia" w:ascii="仿宋" w:hAnsi="仿宋" w:eastAsia="仿宋" w:cs="仿宋_GB2312"/>
          <w:b/>
          <w:bCs w:val="0"/>
          <w:sz w:val="28"/>
          <w:szCs w:val="28"/>
        </w:rPr>
        <w:t>（一）申诉</w:t>
      </w:r>
    </w:p>
    <w:p w14:paraId="3502A040">
      <w:pPr>
        <w:adjustRightInd w:val="0"/>
        <w:snapToGrid w:val="0"/>
        <w:spacing w:line="540" w:lineRule="exact"/>
        <w:ind w:firstLine="560" w:firstLineChars="200"/>
        <w:rPr>
          <w:rFonts w:hint="eastAsia" w:ascii="仿宋" w:hAnsi="仿宋" w:eastAsia="仿宋" w:cs="仿宋_GB2312"/>
          <w:bCs/>
          <w:sz w:val="28"/>
          <w:szCs w:val="28"/>
        </w:rPr>
      </w:pPr>
      <w:r>
        <w:rPr>
          <w:rFonts w:hint="eastAsia" w:ascii="仿宋" w:hAnsi="仿宋" w:eastAsia="仿宋" w:cs="仿宋_GB2312"/>
          <w:bCs/>
          <w:sz w:val="28"/>
          <w:szCs w:val="28"/>
        </w:rPr>
        <w:t>按照中国田径协会审定的《田径竞赛与技术规则2025》及世界田联最新修订内容执行。</w:t>
      </w:r>
    </w:p>
    <w:p w14:paraId="27BE284A">
      <w:pPr>
        <w:adjustRightInd w:val="0"/>
        <w:snapToGrid w:val="0"/>
        <w:spacing w:line="540" w:lineRule="exact"/>
        <w:ind w:firstLine="562" w:firstLineChars="200"/>
        <w:rPr>
          <w:rFonts w:ascii="仿宋" w:hAnsi="仿宋" w:eastAsia="仿宋" w:cs="仿宋_GB2312"/>
          <w:b/>
          <w:bCs w:val="0"/>
          <w:sz w:val="28"/>
          <w:szCs w:val="28"/>
        </w:rPr>
      </w:pPr>
      <w:r>
        <w:rPr>
          <w:rFonts w:hint="eastAsia" w:ascii="仿宋" w:hAnsi="仿宋" w:eastAsia="仿宋" w:cs="仿宋_GB2312"/>
          <w:b/>
          <w:bCs w:val="0"/>
          <w:sz w:val="28"/>
          <w:szCs w:val="28"/>
        </w:rPr>
        <w:t>（二）纪律</w:t>
      </w:r>
    </w:p>
    <w:p w14:paraId="317BBBFE">
      <w:pPr>
        <w:adjustRightInd w:val="0"/>
        <w:snapToGrid w:val="0"/>
        <w:spacing w:line="540" w:lineRule="exact"/>
        <w:ind w:firstLine="560" w:firstLineChars="200"/>
        <w:rPr>
          <w:rFonts w:ascii="仿宋" w:hAnsi="仿宋" w:eastAsia="仿宋" w:cs="仿宋_GB2312"/>
          <w:bCs/>
          <w:sz w:val="28"/>
          <w:szCs w:val="28"/>
        </w:rPr>
      </w:pPr>
      <w:r>
        <w:rPr>
          <w:rFonts w:hint="eastAsia" w:ascii="仿宋" w:hAnsi="仿宋" w:eastAsia="仿宋" w:cs="仿宋_GB2312"/>
          <w:bCs/>
          <w:sz w:val="28"/>
          <w:szCs w:val="28"/>
        </w:rPr>
        <w:t>对运动员、教练员、裁判员和体育赛事组织者违反本届运动会赛风赛纪情形，一经查实，按照《上海市体育赛事活动赛风赛纪管理实施细则》及市运会组委会有关规定处罚。对发生任何兴奋剂违规事件的，按照国家体育总局、上海市体育局反兴奋剂相关规定进行处罚。</w:t>
      </w:r>
    </w:p>
    <w:p w14:paraId="59A5F2E5">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十三、技术官员</w:t>
      </w:r>
    </w:p>
    <w:p w14:paraId="4E643327">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按照本届运动会竞赛规程总则的有关规定执行。</w:t>
      </w:r>
    </w:p>
    <w:p w14:paraId="750B3196">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十四、运动员技术等级授予</w:t>
      </w:r>
    </w:p>
    <w:p w14:paraId="3F5DA535">
      <w:pPr>
        <w:adjustRightInd w:val="0"/>
        <w:snapToGrid w:val="0"/>
        <w:spacing w:line="540" w:lineRule="exact"/>
        <w:ind w:firstLine="560" w:firstLineChars="200"/>
        <w:rPr>
          <w:rFonts w:ascii="仿宋" w:hAnsi="仿宋" w:eastAsia="仿宋"/>
          <w:sz w:val="28"/>
          <w:szCs w:val="28"/>
        </w:rPr>
      </w:pPr>
      <w:r>
        <w:rPr>
          <w:rFonts w:hint="eastAsia" w:ascii="仿宋" w:hAnsi="仿宋" w:eastAsia="仿宋"/>
          <w:sz w:val="28"/>
          <w:szCs w:val="28"/>
        </w:rPr>
        <w:t>本次比赛为2026年国家体育总局公布的可授予运动员技术等级称号赛事，本次比赛的A、B、C组均可授予运动员技术等级，具体标准按国家体育总局最新发布的《运动员技术等级标准》执行（其中2008年9月1日—2008年12月31日年龄段运动员的跨栏、投掷类、全能项目因器械标准（年龄段）与文件规定不符，无法授予运动员技术等级称号）。</w:t>
      </w:r>
    </w:p>
    <w:p w14:paraId="71FDD657">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十五、其他</w:t>
      </w:r>
    </w:p>
    <w:p w14:paraId="3214C470">
      <w:pPr>
        <w:adjustRightInd w:val="0"/>
        <w:snapToGrid w:val="0"/>
        <w:spacing w:line="54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（一）</w:t>
      </w:r>
      <w:r>
        <w:rPr>
          <w:rFonts w:hint="eastAsia" w:ascii="仿宋" w:hAnsi="仿宋" w:eastAsia="仿宋"/>
          <w:sz w:val="28"/>
          <w:szCs w:val="28"/>
        </w:rPr>
        <w:t>本规程内容与本届运动会竞赛规程总则或上海市体育局相关规定发生冲突，则以本届运动会竞赛规程总则或上海市体育局相关规定为准。</w:t>
      </w:r>
    </w:p>
    <w:p w14:paraId="61C0C7D7">
      <w:pPr>
        <w:adjustRightInd w:val="0"/>
        <w:snapToGrid w:val="0"/>
        <w:spacing w:line="540" w:lineRule="exact"/>
        <w:ind w:firstLine="560" w:firstLineChars="200"/>
        <w:rPr>
          <w:rFonts w:ascii="仿宋" w:hAnsi="仿宋" w:eastAsia="仿宋" w:cs="仿宋"/>
          <w:color w:val="000000"/>
          <w:sz w:val="28"/>
          <w:szCs w:val="28"/>
        </w:rPr>
      </w:pPr>
      <w:bookmarkStart w:id="1" w:name="_Hlk162361054"/>
      <w:r>
        <w:rPr>
          <w:rFonts w:hint="eastAsia" w:ascii="仿宋" w:hAnsi="仿宋" w:eastAsia="仿宋" w:cs="仿宋"/>
          <w:color w:val="000000"/>
          <w:sz w:val="28"/>
          <w:szCs w:val="28"/>
        </w:rPr>
        <w:t>（二）参赛单位运动员、教练员应知晓体育竞赛的相关风险，确保自己身体状况符合参赛要求，自行承担非承办单位故意或重大过失导致的伤害。</w:t>
      </w:r>
      <w:bookmarkEnd w:id="1"/>
    </w:p>
    <w:p w14:paraId="386E954D">
      <w:pPr>
        <w:adjustRightInd w:val="0"/>
        <w:snapToGrid w:val="0"/>
        <w:spacing w:line="54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（三）未尽事宜，另行通知。</w:t>
      </w:r>
    </w:p>
    <w:p w14:paraId="7466BBD7">
      <w:pPr>
        <w:adjustRightInd w:val="0"/>
        <w:snapToGrid w:val="0"/>
        <w:spacing w:line="540" w:lineRule="exact"/>
        <w:jc w:val="right"/>
        <w:rPr>
          <w:rFonts w:ascii="仿宋" w:hAnsi="仿宋" w:eastAsia="仿宋" w:cs="仿宋"/>
          <w:color w:val="000000"/>
          <w:sz w:val="28"/>
          <w:szCs w:val="28"/>
        </w:rPr>
      </w:pPr>
    </w:p>
    <w:p w14:paraId="5D7DE880">
      <w:pPr>
        <w:adjustRightInd w:val="0"/>
        <w:snapToGrid w:val="0"/>
        <w:spacing w:line="540" w:lineRule="exact"/>
        <w:jc w:val="right"/>
        <w:rPr>
          <w:rFonts w:ascii="仿宋" w:hAnsi="仿宋" w:eastAsia="仿宋" w:cs="仿宋"/>
          <w:color w:val="000000"/>
          <w:sz w:val="28"/>
          <w:szCs w:val="28"/>
        </w:rPr>
      </w:pPr>
    </w:p>
    <w:p w14:paraId="2D291781">
      <w:pPr>
        <w:adjustRightInd w:val="0"/>
        <w:snapToGrid w:val="0"/>
        <w:spacing w:line="540" w:lineRule="exact"/>
        <w:jc w:val="right"/>
        <w:rPr>
          <w:rFonts w:ascii="仿宋" w:hAnsi="仿宋" w:eastAsia="仿宋" w:cs="仿宋"/>
          <w:color w:val="000000"/>
          <w:sz w:val="28"/>
          <w:szCs w:val="28"/>
        </w:rPr>
      </w:pPr>
      <w:r>
        <w:rPr>
          <w:rFonts w:hint="eastAsia" w:ascii="仿宋" w:hAnsi="仿宋" w:eastAsia="仿宋" w:cs="仿宋"/>
          <w:color w:val="000000"/>
          <w:sz w:val="28"/>
          <w:szCs w:val="28"/>
        </w:rPr>
        <w:t>上海市竞技体育训练管理中心田径运动中心</w:t>
      </w:r>
    </w:p>
    <w:p w14:paraId="25C3F974">
      <w:pPr>
        <w:adjustRightInd w:val="0"/>
        <w:snapToGrid w:val="0"/>
        <w:spacing w:line="540" w:lineRule="exact"/>
        <w:jc w:val="center"/>
        <w:rPr>
          <w:rFonts w:ascii="仿宋" w:hAnsi="仿宋" w:eastAsia="仿宋" w:cs="仿宋"/>
          <w:color w:val="000000"/>
          <w:sz w:val="28"/>
          <w:szCs w:val="28"/>
        </w:rPr>
      </w:pPr>
      <w:r>
        <w:rPr>
          <w:rFonts w:hint="eastAsia" w:ascii="仿宋" w:hAnsi="仿宋" w:eastAsia="仿宋" w:cs="仿宋"/>
          <w:color w:val="000000"/>
          <w:sz w:val="28"/>
          <w:szCs w:val="28"/>
        </w:rPr>
        <w:t xml:space="preserve">                        上海市田径协会</w:t>
      </w:r>
    </w:p>
    <w:sectPr>
      <w:footerReference r:id="rId3" w:type="default"/>
      <w:footnotePr>
        <w:numRestart w:val="eachPage"/>
      </w:footnotePr>
      <w:type w:val="continuous"/>
      <w:pgSz w:w="11906" w:h="16838"/>
      <w:pgMar w:top="1417" w:right="1587" w:bottom="1417"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C32C6">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footnotePr>
    <w:numRestart w:val="eachPage"/>
  </w:footnotePr>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78A"/>
    <w:rsid w:val="002A225D"/>
    <w:rsid w:val="0033441A"/>
    <w:rsid w:val="0038156C"/>
    <w:rsid w:val="00431B88"/>
    <w:rsid w:val="0044278A"/>
    <w:rsid w:val="004E07DD"/>
    <w:rsid w:val="00607D0B"/>
    <w:rsid w:val="00A73759"/>
    <w:rsid w:val="00B01952"/>
    <w:rsid w:val="00BD08FC"/>
    <w:rsid w:val="00C6211F"/>
    <w:rsid w:val="00F16E78"/>
    <w:rsid w:val="00F52FCA"/>
    <w:rsid w:val="00F93AA1"/>
    <w:rsid w:val="03101E00"/>
    <w:rsid w:val="03183551"/>
    <w:rsid w:val="034F46D6"/>
    <w:rsid w:val="03B44E81"/>
    <w:rsid w:val="03EE3EEF"/>
    <w:rsid w:val="03F82190"/>
    <w:rsid w:val="04AB3B8E"/>
    <w:rsid w:val="04F574FF"/>
    <w:rsid w:val="05575AC4"/>
    <w:rsid w:val="061C692E"/>
    <w:rsid w:val="06E3307C"/>
    <w:rsid w:val="08253C58"/>
    <w:rsid w:val="09717D94"/>
    <w:rsid w:val="0A913826"/>
    <w:rsid w:val="0BBC6553"/>
    <w:rsid w:val="0BEE5EB8"/>
    <w:rsid w:val="0D434C8E"/>
    <w:rsid w:val="0D860802"/>
    <w:rsid w:val="0DD95C10"/>
    <w:rsid w:val="0E2A646C"/>
    <w:rsid w:val="0E941B37"/>
    <w:rsid w:val="0F000F7B"/>
    <w:rsid w:val="0F4C3B6E"/>
    <w:rsid w:val="10022AD1"/>
    <w:rsid w:val="11300063"/>
    <w:rsid w:val="114E2471"/>
    <w:rsid w:val="122D52DF"/>
    <w:rsid w:val="1367781A"/>
    <w:rsid w:val="15396F94"/>
    <w:rsid w:val="15DF7B3C"/>
    <w:rsid w:val="16273291"/>
    <w:rsid w:val="17F84EE5"/>
    <w:rsid w:val="1B063DBD"/>
    <w:rsid w:val="1B1958E0"/>
    <w:rsid w:val="1B735566"/>
    <w:rsid w:val="1C4C1CA3"/>
    <w:rsid w:val="1CA4563B"/>
    <w:rsid w:val="1CC82385"/>
    <w:rsid w:val="1D0B1216"/>
    <w:rsid w:val="1D970E7A"/>
    <w:rsid w:val="1E312EFF"/>
    <w:rsid w:val="1EDF0BAD"/>
    <w:rsid w:val="1FA83694"/>
    <w:rsid w:val="1FD55B0C"/>
    <w:rsid w:val="205779DE"/>
    <w:rsid w:val="20CF69FF"/>
    <w:rsid w:val="219F5F9B"/>
    <w:rsid w:val="21D544E9"/>
    <w:rsid w:val="231F0787"/>
    <w:rsid w:val="23D43194"/>
    <w:rsid w:val="23F70746"/>
    <w:rsid w:val="24B5620A"/>
    <w:rsid w:val="24F20D38"/>
    <w:rsid w:val="25583467"/>
    <w:rsid w:val="26E162E7"/>
    <w:rsid w:val="26EF48DE"/>
    <w:rsid w:val="27533EE6"/>
    <w:rsid w:val="27586E1A"/>
    <w:rsid w:val="27816C2F"/>
    <w:rsid w:val="27F109A2"/>
    <w:rsid w:val="293935AF"/>
    <w:rsid w:val="2ABA427C"/>
    <w:rsid w:val="2AC97C2B"/>
    <w:rsid w:val="2BB62C95"/>
    <w:rsid w:val="2DA717B3"/>
    <w:rsid w:val="2E505623"/>
    <w:rsid w:val="339E07D4"/>
    <w:rsid w:val="34FA4276"/>
    <w:rsid w:val="35D00E8D"/>
    <w:rsid w:val="36176A26"/>
    <w:rsid w:val="36A209E6"/>
    <w:rsid w:val="384F4255"/>
    <w:rsid w:val="38C5276A"/>
    <w:rsid w:val="39667C1F"/>
    <w:rsid w:val="399530D6"/>
    <w:rsid w:val="3AEA295B"/>
    <w:rsid w:val="3B506C62"/>
    <w:rsid w:val="3BAA664E"/>
    <w:rsid w:val="3BD853DB"/>
    <w:rsid w:val="3DBC05DF"/>
    <w:rsid w:val="3F081602"/>
    <w:rsid w:val="3F78563F"/>
    <w:rsid w:val="42BC52D7"/>
    <w:rsid w:val="42EF4FB3"/>
    <w:rsid w:val="43476B9D"/>
    <w:rsid w:val="439C2AD3"/>
    <w:rsid w:val="442E38B9"/>
    <w:rsid w:val="4487121B"/>
    <w:rsid w:val="458F0387"/>
    <w:rsid w:val="47084895"/>
    <w:rsid w:val="475C698F"/>
    <w:rsid w:val="47E66258"/>
    <w:rsid w:val="4933371F"/>
    <w:rsid w:val="49877552"/>
    <w:rsid w:val="49CB0BE2"/>
    <w:rsid w:val="49DC5B65"/>
    <w:rsid w:val="4B6E4EE3"/>
    <w:rsid w:val="4B9A64FB"/>
    <w:rsid w:val="4C3677AE"/>
    <w:rsid w:val="4CD94BD1"/>
    <w:rsid w:val="4D265A75"/>
    <w:rsid w:val="4F624D5E"/>
    <w:rsid w:val="4FBD3D43"/>
    <w:rsid w:val="511F2F07"/>
    <w:rsid w:val="51257DF2"/>
    <w:rsid w:val="514957E5"/>
    <w:rsid w:val="52132340"/>
    <w:rsid w:val="52344790"/>
    <w:rsid w:val="527B7C74"/>
    <w:rsid w:val="52F608EB"/>
    <w:rsid w:val="552A1E7A"/>
    <w:rsid w:val="55794BB0"/>
    <w:rsid w:val="565C6063"/>
    <w:rsid w:val="56F24C1A"/>
    <w:rsid w:val="570864F0"/>
    <w:rsid w:val="59D40607"/>
    <w:rsid w:val="59F1740B"/>
    <w:rsid w:val="59F5046E"/>
    <w:rsid w:val="5AE91E90"/>
    <w:rsid w:val="5BB22BCA"/>
    <w:rsid w:val="5BB406F0"/>
    <w:rsid w:val="5C91658F"/>
    <w:rsid w:val="5CDB5E07"/>
    <w:rsid w:val="5DE60909"/>
    <w:rsid w:val="5E4A5896"/>
    <w:rsid w:val="5E581806"/>
    <w:rsid w:val="5EBD3A80"/>
    <w:rsid w:val="5F5A7800"/>
    <w:rsid w:val="5FCC24AC"/>
    <w:rsid w:val="61567F86"/>
    <w:rsid w:val="61BF1B9C"/>
    <w:rsid w:val="621719D8"/>
    <w:rsid w:val="623B4E9F"/>
    <w:rsid w:val="62414951"/>
    <w:rsid w:val="62EA2536"/>
    <w:rsid w:val="63686571"/>
    <w:rsid w:val="639C3F43"/>
    <w:rsid w:val="63B15515"/>
    <w:rsid w:val="63CF256B"/>
    <w:rsid w:val="64552A60"/>
    <w:rsid w:val="651B533C"/>
    <w:rsid w:val="65626C1B"/>
    <w:rsid w:val="657B5DDA"/>
    <w:rsid w:val="665C5C0C"/>
    <w:rsid w:val="666F593F"/>
    <w:rsid w:val="677D0530"/>
    <w:rsid w:val="680C5410"/>
    <w:rsid w:val="6A7774B8"/>
    <w:rsid w:val="6A8B2F63"/>
    <w:rsid w:val="6AE71EEF"/>
    <w:rsid w:val="6AF754DD"/>
    <w:rsid w:val="6B9C3307"/>
    <w:rsid w:val="6B9E6A30"/>
    <w:rsid w:val="6C5222E4"/>
    <w:rsid w:val="6C592FAA"/>
    <w:rsid w:val="6C89702F"/>
    <w:rsid w:val="6DB31A8E"/>
    <w:rsid w:val="70207CAA"/>
    <w:rsid w:val="702754DC"/>
    <w:rsid w:val="71995F66"/>
    <w:rsid w:val="747723FC"/>
    <w:rsid w:val="75023E22"/>
    <w:rsid w:val="755A1A7D"/>
    <w:rsid w:val="762A7AD4"/>
    <w:rsid w:val="76856AB9"/>
    <w:rsid w:val="7693567A"/>
    <w:rsid w:val="78424BCB"/>
    <w:rsid w:val="78F4730E"/>
    <w:rsid w:val="792759E3"/>
    <w:rsid w:val="79442261"/>
    <w:rsid w:val="79703A50"/>
    <w:rsid w:val="7BA63759"/>
    <w:rsid w:val="7D7C2F0A"/>
    <w:rsid w:val="7D83213B"/>
    <w:rsid w:val="7DCE51E9"/>
    <w:rsid w:val="7F6F65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qFormat/>
    <w:uiPriority w:val="35"/>
    <w:rPr>
      <w:rFonts w:ascii="Cambria" w:hAnsi="Cambria" w:eastAsia="黑体" w:cs="宋体"/>
      <w:sz w:val="20"/>
      <w:szCs w:val="20"/>
    </w:rPr>
  </w:style>
  <w:style w:type="paragraph" w:styleId="3">
    <w:name w:val="annotation text"/>
    <w:basedOn w:val="1"/>
    <w:link w:val="20"/>
    <w:qFormat/>
    <w:uiPriority w:val="99"/>
    <w:pPr>
      <w:jc w:val="left"/>
    </w:pPr>
  </w:style>
  <w:style w:type="paragraph" w:styleId="4">
    <w:name w:val="endnote text"/>
    <w:basedOn w:val="1"/>
    <w:link w:val="23"/>
    <w:qFormat/>
    <w:uiPriority w:val="99"/>
    <w:pPr>
      <w:snapToGrid w:val="0"/>
      <w:jc w:val="left"/>
    </w:pPr>
  </w:style>
  <w:style w:type="paragraph" w:styleId="5">
    <w:name w:val="Balloon Text"/>
    <w:basedOn w:val="1"/>
    <w:link w:val="19"/>
    <w:qFormat/>
    <w:uiPriority w:val="99"/>
    <w:rPr>
      <w:sz w:val="18"/>
      <w:szCs w:val="18"/>
    </w:rPr>
  </w:style>
  <w:style w:type="paragraph" w:styleId="6">
    <w:name w:val="footer"/>
    <w:basedOn w:val="1"/>
    <w:link w:val="17"/>
    <w:qFormat/>
    <w:uiPriority w:val="99"/>
    <w:pPr>
      <w:tabs>
        <w:tab w:val="center" w:pos="4153"/>
        <w:tab w:val="right" w:pos="8306"/>
      </w:tabs>
      <w:snapToGrid w:val="0"/>
      <w:jc w:val="left"/>
    </w:pPr>
    <w:rPr>
      <w:sz w:val="18"/>
      <w:szCs w:val="18"/>
    </w:rPr>
  </w:style>
  <w:style w:type="paragraph" w:styleId="7">
    <w:name w:val="header"/>
    <w:basedOn w:val="1"/>
    <w:link w:val="16"/>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link w:val="22"/>
    <w:qFormat/>
    <w:uiPriority w:val="99"/>
    <w:pPr>
      <w:snapToGrid w:val="0"/>
      <w:jc w:val="left"/>
    </w:pPr>
    <w:rPr>
      <w:sz w:val="18"/>
      <w:szCs w:val="18"/>
    </w:rPr>
  </w:style>
  <w:style w:type="paragraph" w:styleId="9">
    <w:name w:val="annotation subject"/>
    <w:basedOn w:val="3"/>
    <w:next w:val="3"/>
    <w:link w:val="21"/>
    <w:qFormat/>
    <w:uiPriority w:val="99"/>
    <w:rPr>
      <w:b/>
      <w:bCs/>
    </w:rPr>
  </w:style>
  <w:style w:type="character" w:styleId="12">
    <w:name w:val="endnote reference"/>
    <w:basedOn w:val="11"/>
    <w:qFormat/>
    <w:uiPriority w:val="99"/>
    <w:rPr>
      <w:vertAlign w:val="superscript"/>
    </w:rPr>
  </w:style>
  <w:style w:type="character" w:styleId="13">
    <w:name w:val="Hyperlink"/>
    <w:basedOn w:val="11"/>
    <w:qFormat/>
    <w:uiPriority w:val="99"/>
    <w:rPr>
      <w:color w:val="0000FF"/>
      <w:u w:val="single"/>
    </w:rPr>
  </w:style>
  <w:style w:type="character" w:styleId="14">
    <w:name w:val="annotation reference"/>
    <w:basedOn w:val="11"/>
    <w:qFormat/>
    <w:uiPriority w:val="99"/>
    <w:rPr>
      <w:sz w:val="21"/>
      <w:szCs w:val="21"/>
    </w:rPr>
  </w:style>
  <w:style w:type="character" w:styleId="15">
    <w:name w:val="footnote reference"/>
    <w:basedOn w:val="11"/>
    <w:qFormat/>
    <w:uiPriority w:val="99"/>
    <w:rPr>
      <w:vertAlign w:val="superscript"/>
    </w:rPr>
  </w:style>
  <w:style w:type="character" w:customStyle="1" w:styleId="16">
    <w:name w:val="页眉 字符"/>
    <w:basedOn w:val="11"/>
    <w:link w:val="7"/>
    <w:qFormat/>
    <w:uiPriority w:val="99"/>
    <w:rPr>
      <w:rFonts w:ascii="Calibri" w:hAnsi="Calibri" w:eastAsia="宋体" w:cs="Times New Roman"/>
      <w:sz w:val="18"/>
      <w:szCs w:val="18"/>
    </w:rPr>
  </w:style>
  <w:style w:type="character" w:customStyle="1" w:styleId="17">
    <w:name w:val="页脚 字符"/>
    <w:basedOn w:val="11"/>
    <w:link w:val="6"/>
    <w:qFormat/>
    <w:uiPriority w:val="99"/>
    <w:rPr>
      <w:rFonts w:ascii="Calibri" w:hAnsi="Calibri" w:eastAsia="宋体" w:cs="Times New Roman"/>
      <w:sz w:val="18"/>
      <w:szCs w:val="18"/>
    </w:rPr>
  </w:style>
  <w:style w:type="paragraph" w:styleId="18">
    <w:name w:val="List Paragraph"/>
    <w:basedOn w:val="1"/>
    <w:qFormat/>
    <w:uiPriority w:val="34"/>
    <w:pPr>
      <w:ind w:firstLine="420" w:firstLineChars="200"/>
    </w:pPr>
  </w:style>
  <w:style w:type="character" w:customStyle="1" w:styleId="19">
    <w:name w:val="批注框文本 字符"/>
    <w:basedOn w:val="11"/>
    <w:link w:val="5"/>
    <w:qFormat/>
    <w:uiPriority w:val="99"/>
    <w:rPr>
      <w:rFonts w:ascii="Calibri" w:hAnsi="Calibri" w:eastAsia="宋体" w:cs="Times New Roman"/>
      <w:kern w:val="2"/>
      <w:sz w:val="18"/>
      <w:szCs w:val="18"/>
    </w:rPr>
  </w:style>
  <w:style w:type="character" w:customStyle="1" w:styleId="20">
    <w:name w:val="批注文字 字符"/>
    <w:basedOn w:val="11"/>
    <w:link w:val="3"/>
    <w:qFormat/>
    <w:uiPriority w:val="99"/>
    <w:rPr>
      <w:rFonts w:ascii="Calibri" w:hAnsi="Calibri" w:eastAsia="宋体" w:cs="Times New Roman"/>
      <w:kern w:val="2"/>
      <w:sz w:val="21"/>
      <w:szCs w:val="24"/>
    </w:rPr>
  </w:style>
  <w:style w:type="character" w:customStyle="1" w:styleId="21">
    <w:name w:val="批注主题 字符"/>
    <w:basedOn w:val="20"/>
    <w:link w:val="9"/>
    <w:qFormat/>
    <w:uiPriority w:val="0"/>
    <w:rPr>
      <w:rFonts w:ascii="Calibri" w:hAnsi="Calibri" w:eastAsia="宋体" w:cs="Times New Roman"/>
      <w:kern w:val="2"/>
      <w:sz w:val="21"/>
      <w:szCs w:val="24"/>
    </w:rPr>
  </w:style>
  <w:style w:type="character" w:customStyle="1" w:styleId="22">
    <w:name w:val="脚注文本 字符"/>
    <w:basedOn w:val="11"/>
    <w:link w:val="8"/>
    <w:qFormat/>
    <w:uiPriority w:val="99"/>
    <w:rPr>
      <w:rFonts w:ascii="Calibri" w:hAnsi="Calibri" w:eastAsia="宋体" w:cs="Times New Roman"/>
      <w:kern w:val="2"/>
      <w:sz w:val="18"/>
      <w:szCs w:val="18"/>
    </w:rPr>
  </w:style>
  <w:style w:type="character" w:customStyle="1" w:styleId="23">
    <w:name w:val="尾注文本 字符"/>
    <w:basedOn w:val="11"/>
    <w:link w:val="4"/>
    <w:qFormat/>
    <w:uiPriority w:val="99"/>
    <w:rPr>
      <w:rFonts w:ascii="Calibri" w:hAnsi="Calibri" w:eastAsia="宋体" w:cs="Times New Roman"/>
      <w:kern w:val="2"/>
      <w:sz w:val="21"/>
      <w:szCs w:val="24"/>
    </w:rPr>
  </w:style>
  <w:style w:type="paragraph" w:customStyle="1" w:styleId="24">
    <w:name w:val="Table Text"/>
    <w:basedOn w:val="1"/>
    <w:semiHidden/>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actReview xmlns="http://schemas.wps.cn/vas-ai-hub/contract-review">
  <reviewItems>
    <reviewItem>
      <errorID>b00d5980-1227-408d-9cf5-db3e1cae06dd</errorID>
      <errorWord>日</errorWord>
      <group>L1_Word</group>
      <groupName>字词问题</groupName>
      <ability>L2_Typo</ability>
      <abilityName>字词错误</abilityName>
      <candidateList>
        <item>日至</item>
      </candidateList>
      <explain/>
      <paraID> EEE3B29</paraID>
      <start>187</start>
      <end>189</end>
      <status>modified</status>
      <modifiedWord>日至</modifiedWord>
      <trackRevisions>false</trackRevisions>
    </reviewItem>
    <reviewItem>
      <errorID>fa253c56-c975-4db2-bc9c-bba251af0df0</errorID>
      <errorWord>计</errorWord>
      <group>L1_Word</group>
      <groupName>字词问题</groupName>
      <ability>L2_Typo</ability>
      <abilityName>字词错误</abilityName>
      <candidateList>
        <item>计算</item>
      </candidateList>
      <explain/>
      <paraID>529C22F3</paraID>
      <start>37</start>
      <end>38</end>
      <status>unmodified</status>
      <modifiedWord/>
      <trackRevisions>false</trackRevisions>
    </reviewItem>
    <reviewItem>
      <errorID>e8410e7f-6d04-48cb-a36e-97f60a769291</errorID>
      <errorWord>规定执行</errorWord>
      <group>L1_Grammar</group>
      <groupName>语法问题</groupName>
      <ability>L2_Confusion</ability>
      <abilityName>结构混乱</abilityName>
      <candidateList>
        <item>规定</item>
      </candidateList>
      <explain>句子中可能存在两种以上的句法结构，导致结构混乱。</explain>
      <paraID>3C024134</paraID>
      <start>42</start>
      <end>46</end>
      <status>unmodified</status>
      <modifiedWord/>
      <trackRevisions>false</trackRevisions>
    </reviewItem>
  </reviewItems>
  <config/>
</contractReview>
</file>

<file path=customXml/item2.xml><?xml version="1.0" encoding="utf-8"?>
<b:Sources xmlns:b="http://schemas.openxmlformats.org/officeDocument/2006/bibliography" xmlns="http://schemas.openxmlformats.org/officeDocument/2006/bibliography" SelectedStyle="\APASixthEditionOfficeOnline.xsl" StyleName="APA" Version="6">
  <b:Source>
    <b:Tag>通过公</b:Tag>
    <b:SourceType>Book</b:SourceType>
    <b:Guid>{82C0E58A-A785-48EF-9EC2-E60ACD13410E}</b:Guid>
    <b:Author>
      <b:Author>
        <b:NameList>
          <b:Person>
            <b:Last>通过公开申办，受主办方直接委托或管辖，直接参与赛事执行</b:Last>
          </b:Person>
        </b:NameList>
      </b:Author>
    </b:Author>
    <b:RefOrder>2</b:RefOrder>
  </b:Source>
  <b:Source>
    <b:Tag>通过公1</b:Tag>
    <b:SourceType>Book</b:SourceType>
    <b:Guid>{6737C864-A0B9-4D0D-904E-A66A7D59E19E}</b:Guid>
    <b:Author>
      <b:Author>
        <b:NameList>
          <b:Person>
            <b:Last>通过公开申办，受主办方直接委托或管辖，直接参与赛事执行</b:Last>
          </b:Person>
        </b:NameList>
      </b:Author>
    </b:Author>
    <b:RefOrder>1</b:RefOrder>
  </b:Source>
</b:Sources>
</file>

<file path=customXml/itemProps1.xml><?xml version="1.0" encoding="utf-8"?>
<ds:datastoreItem xmlns:ds="http://schemas.openxmlformats.org/officeDocument/2006/customXml" ds:itemID="{1E920AB5-BD7B-4F41-9B1A-01AF28D5F8BC}">
  <ds:schemaRefs/>
</ds:datastoreItem>
</file>

<file path=customXml/itemProps2.xml><?xml version="1.0" encoding="utf-8"?>
<ds:datastoreItem xmlns:ds="http://schemas.openxmlformats.org/officeDocument/2006/customXml" ds:itemID="{625654C5-9F47-415F-B547-D9502E78804C}">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817</Words>
  <Characters>1096</Characters>
  <Lines>27</Lines>
  <Paragraphs>7</Paragraphs>
  <TotalTime>19</TotalTime>
  <ScaleCrop>false</ScaleCrop>
  <LinksUpToDate>false</LinksUpToDate>
  <CharactersWithSpaces>1096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2022-01-21T06:02:00Z</dcterms:created>
  <dc:creator>微软中国</dc:creator>
  <cp:lastModifiedBy>Xiangyou</cp:lastModifiedBy>
  <cp:lastPrinted>2026-04-03T07:15:00Z</cp:lastPrinted>
  <dcterms:modified xsi:type="dcterms:W3CDTF">2026-05-14T07:43:44Z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5474CED3D3BA4A4AA4B0AF5AD8FC3573_13</vt:lpwstr>
  </property>
  <property fmtid="{D5CDD505-2E9C-101B-9397-08002B2CF9AE}" pid="4" name="KSOTemplateDocerSaveRecord">
    <vt:lpwstr>eyJoZGlkIjoiNjA2NmNjZDM3NzUzZGJhY2I3OTc1NzBkNDI5NDdhNTkiLCJ1c2VySWQiOiIxNDQ2MzUxODYzIn0=</vt:lpwstr>
  </property>
</Properties>
</file>