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78539">
      <w:pPr>
        <w:tabs>
          <w:tab w:val="left" w:pos="142"/>
          <w:tab w:val="left" w:pos="709"/>
        </w:tabs>
        <w:spacing w:before="71" w:after="0" w:line="540" w:lineRule="exact"/>
        <w:jc w:val="center"/>
        <w:outlineLvl w:val="0"/>
        <w:rPr>
          <w:rFonts w:ascii="宋体" w:hAnsi="宋体" w:eastAsia="宋体" w:cstheme="majorEastAsia"/>
          <w:b/>
          <w:bCs/>
          <w:color w:val="000000" w:themeColor="text1"/>
          <w:spacing w:val="6"/>
          <w:sz w:val="36"/>
          <w:szCs w:val="36"/>
          <w:lang w:eastAsia="zh-CN"/>
          <w14:textFill>
            <w14:solidFill>
              <w14:schemeClr w14:val="tx1"/>
            </w14:solidFill>
          </w14:textFill>
        </w:rPr>
      </w:pPr>
      <w:r>
        <w:rPr>
          <w:rFonts w:hint="eastAsia" w:ascii="宋体" w:hAnsi="宋体" w:eastAsia="宋体" w:cstheme="majorEastAsia"/>
          <w:b/>
          <w:bCs/>
          <w:color w:val="000000" w:themeColor="text1"/>
          <w:spacing w:val="6"/>
          <w:sz w:val="36"/>
          <w:szCs w:val="36"/>
          <w:lang w:eastAsia="zh-CN"/>
          <w14:textFill>
            <w14:solidFill>
              <w14:schemeClr w14:val="tx1"/>
            </w14:solidFill>
          </w14:textFill>
        </w:rPr>
        <w:t>上海市第十八届运动会羽毛球比赛（青少年组）</w:t>
      </w:r>
    </w:p>
    <w:p w14:paraId="679EE6B2">
      <w:pPr>
        <w:spacing w:before="71" w:after="0" w:line="540" w:lineRule="exact"/>
        <w:jc w:val="center"/>
        <w:outlineLvl w:val="0"/>
        <w:rPr>
          <w:rFonts w:hint="eastAsia" w:ascii="宋体" w:hAnsi="宋体" w:eastAsia="宋体" w:cstheme="majorEastAsia"/>
          <w:b/>
          <w:bCs/>
          <w:color w:val="000000" w:themeColor="text1"/>
          <w:spacing w:val="2"/>
          <w:sz w:val="36"/>
          <w:szCs w:val="36"/>
          <w:lang w:eastAsia="zh-CN"/>
          <w14:textFill>
            <w14:solidFill>
              <w14:schemeClr w14:val="tx1"/>
            </w14:solidFill>
          </w14:textFill>
        </w:rPr>
      </w:pPr>
      <w:r>
        <w:rPr>
          <w:rFonts w:hint="eastAsia" w:ascii="宋体" w:hAnsi="宋体" w:eastAsia="宋体" w:cstheme="majorEastAsia"/>
          <w:b/>
          <w:bCs/>
          <w:color w:val="000000" w:themeColor="text1"/>
          <w:spacing w:val="2"/>
          <w:sz w:val="36"/>
          <w:szCs w:val="36"/>
          <w:lang w:eastAsia="zh-CN"/>
          <w14:textFill>
            <w14:solidFill>
              <w14:schemeClr w14:val="tx1"/>
            </w14:solidFill>
          </w14:textFill>
        </w:rPr>
        <w:t>竞赛规程</w:t>
      </w:r>
    </w:p>
    <w:p w14:paraId="1229C2E4">
      <w:pPr>
        <w:spacing w:before="71" w:after="0" w:line="540" w:lineRule="exact"/>
        <w:jc w:val="center"/>
        <w:outlineLvl w:val="0"/>
        <w:rPr>
          <w:rFonts w:hint="eastAsia" w:ascii="宋体" w:hAnsi="宋体" w:eastAsia="宋体" w:cstheme="majorEastAsia"/>
          <w:b/>
          <w:bCs/>
          <w:color w:val="000000" w:themeColor="text1"/>
          <w:spacing w:val="2"/>
          <w:sz w:val="36"/>
          <w:szCs w:val="36"/>
          <w:lang w:eastAsia="zh-CN"/>
          <w14:textFill>
            <w14:solidFill>
              <w14:schemeClr w14:val="tx1"/>
            </w14:solidFill>
          </w14:textFill>
        </w:rPr>
      </w:pPr>
    </w:p>
    <w:p w14:paraId="560538C4">
      <w:pPr>
        <w:pStyle w:val="3"/>
        <w:numPr>
          <w:ilvl w:val="0"/>
          <w:numId w:val="0"/>
        </w:numPr>
        <w:spacing w:after="0" w:line="540" w:lineRule="exact"/>
        <w:ind w:firstLine="554" w:firstLineChars="200"/>
        <w:rPr>
          <w:b/>
          <w:bCs/>
          <w:spacing w:val="-2"/>
          <w:lang w:eastAsia="zh-CN"/>
        </w:rPr>
      </w:pPr>
      <w:r>
        <w:rPr>
          <w:rFonts w:hint="eastAsia" w:ascii="仿宋" w:hAnsi="仿宋" w:eastAsia="仿宋" w:cs="仿宋"/>
          <w:b/>
          <w:bCs/>
          <w:snapToGrid w:val="0"/>
          <w:color w:val="000000"/>
          <w:spacing w:val="-2"/>
          <w:sz w:val="28"/>
          <w:szCs w:val="28"/>
          <w:lang w:val="en-US" w:eastAsia="zh-CN" w:bidi="ar-SA"/>
        </w:rPr>
        <w:t>一、</w:t>
      </w:r>
      <w:r>
        <w:rPr>
          <w:rFonts w:hint="eastAsia"/>
          <w:b/>
          <w:bCs/>
          <w:spacing w:val="-2"/>
          <w:lang w:eastAsia="zh-CN"/>
        </w:rPr>
        <w:t>主办单位：</w:t>
      </w:r>
      <w:r>
        <w:rPr>
          <w:rFonts w:hint="eastAsia"/>
          <w:spacing w:val="-2"/>
          <w:lang w:eastAsia="zh-CN"/>
        </w:rPr>
        <w:t>上海市体育局、上海市教育委员会</w:t>
      </w:r>
    </w:p>
    <w:p w14:paraId="40E18DB8">
      <w:pPr>
        <w:pStyle w:val="3"/>
        <w:numPr>
          <w:ilvl w:val="0"/>
          <w:numId w:val="0"/>
        </w:numPr>
        <w:spacing w:after="0" w:line="540" w:lineRule="exact"/>
        <w:ind w:firstLine="554" w:firstLineChars="200"/>
        <w:rPr>
          <w:rFonts w:hint="eastAsia"/>
          <w:spacing w:val="-2"/>
          <w:lang w:eastAsia="zh-CN" w:bidi="ar"/>
        </w:rPr>
      </w:pPr>
      <w:r>
        <w:rPr>
          <w:rFonts w:hint="eastAsia" w:ascii="仿宋" w:hAnsi="仿宋" w:eastAsia="仿宋" w:cs="仿宋"/>
          <w:b/>
          <w:bCs/>
          <w:snapToGrid w:val="0"/>
          <w:color w:val="000000"/>
          <w:spacing w:val="-2"/>
          <w:sz w:val="28"/>
          <w:szCs w:val="28"/>
          <w:lang w:val="en-US" w:eastAsia="zh-CN" w:bidi="ar"/>
        </w:rPr>
        <w:t>二、</w:t>
      </w:r>
      <w:r>
        <w:rPr>
          <w:rFonts w:hint="eastAsia"/>
          <w:b/>
          <w:bCs/>
          <w:spacing w:val="-2"/>
          <w:lang w:eastAsia="zh-CN"/>
        </w:rPr>
        <w:t>承办</w:t>
      </w:r>
      <w:r>
        <w:rPr>
          <w:rFonts w:hint="eastAsia"/>
          <w:b/>
          <w:bCs/>
          <w:spacing w:val="-4"/>
          <w:lang w:eastAsia="zh-CN"/>
        </w:rPr>
        <w:t>单位：</w:t>
      </w:r>
      <w:r>
        <w:rPr>
          <w:rFonts w:hint="eastAsia"/>
          <w:spacing w:val="-2"/>
          <w:lang w:eastAsia="zh-CN" w:bidi="ar"/>
        </w:rPr>
        <w:t>上海市浦东新区文化体育和旅游局、</w:t>
      </w:r>
    </w:p>
    <w:p w14:paraId="7ACBD25C">
      <w:pPr>
        <w:pStyle w:val="3"/>
        <w:numPr>
          <w:ilvl w:val="0"/>
          <w:numId w:val="0"/>
        </w:numPr>
        <w:spacing w:after="0" w:line="540" w:lineRule="exact"/>
        <w:ind w:firstLine="2484" w:firstLineChars="900"/>
        <w:rPr>
          <w:rFonts w:hint="eastAsia"/>
          <w:spacing w:val="-2"/>
          <w:lang w:eastAsia="zh-CN" w:bidi="ar"/>
        </w:rPr>
      </w:pPr>
      <w:r>
        <w:rPr>
          <w:rFonts w:hint="eastAsia"/>
          <w:spacing w:val="-2"/>
          <w:lang w:eastAsia="zh-CN" w:bidi="ar"/>
        </w:rPr>
        <w:t>上海市竞技体育训练管理中心乒乓球羽毛球运动中心</w:t>
      </w:r>
    </w:p>
    <w:p w14:paraId="312FB8F3">
      <w:pPr>
        <w:pStyle w:val="3"/>
        <w:numPr>
          <w:ilvl w:val="0"/>
          <w:numId w:val="0"/>
        </w:numPr>
        <w:spacing w:after="0" w:line="540" w:lineRule="exact"/>
        <w:ind w:firstLine="2484" w:firstLineChars="900"/>
        <w:rPr>
          <w:rFonts w:hint="eastAsia"/>
          <w:spacing w:val="-2"/>
          <w:lang w:eastAsia="zh-CN" w:bidi="ar"/>
        </w:rPr>
      </w:pPr>
      <w:r>
        <w:rPr>
          <w:rFonts w:hint="eastAsia"/>
          <w:spacing w:val="-2"/>
          <w:lang w:eastAsia="zh-CN" w:bidi="ar"/>
        </w:rPr>
        <w:t>上海市羽毛球协会</w:t>
      </w:r>
    </w:p>
    <w:p w14:paraId="4412FDA5">
      <w:pPr>
        <w:pStyle w:val="3"/>
        <w:numPr>
          <w:ilvl w:val="0"/>
          <w:numId w:val="0"/>
        </w:numPr>
        <w:spacing w:after="0" w:line="540" w:lineRule="exact"/>
        <w:ind w:firstLine="2484" w:firstLineChars="900"/>
        <w:rPr>
          <w:rFonts w:hint="eastAsia"/>
          <w:spacing w:val="-2"/>
          <w:lang w:eastAsia="zh-CN" w:bidi="ar"/>
        </w:rPr>
      </w:pPr>
      <w:r>
        <w:rPr>
          <w:rFonts w:hint="eastAsia"/>
          <w:spacing w:val="-2"/>
          <w:lang w:eastAsia="zh-CN" w:bidi="ar"/>
        </w:rPr>
        <w:t>上海浦东新区博宽青少年羽毛球俱乐部</w:t>
      </w:r>
    </w:p>
    <w:p w14:paraId="2AE60C43">
      <w:pPr>
        <w:pStyle w:val="3"/>
        <w:spacing w:after="0" w:line="540" w:lineRule="exact"/>
        <w:ind w:firstLine="563" w:firstLineChars="203"/>
        <w:rPr>
          <w:lang w:eastAsia="zh-CN"/>
        </w:rPr>
      </w:pPr>
      <w:r>
        <w:rPr>
          <w:rFonts w:hint="eastAsia"/>
          <w:b/>
          <w:bCs/>
          <w:spacing w:val="-2"/>
          <w:lang w:eastAsia="zh-CN"/>
        </w:rPr>
        <w:t>三、协办单位：</w:t>
      </w:r>
      <w:r>
        <w:rPr>
          <w:rFonts w:hint="eastAsia"/>
          <w:spacing w:val="-2"/>
          <w:lang w:eastAsia="zh-CN"/>
        </w:rPr>
        <w:t>待定</w:t>
      </w:r>
    </w:p>
    <w:p w14:paraId="4A517FE0">
      <w:pPr>
        <w:pStyle w:val="3"/>
        <w:spacing w:after="0" w:line="540" w:lineRule="exact"/>
        <w:ind w:firstLine="554" w:firstLineChars="200"/>
        <w:rPr>
          <w:spacing w:val="-7"/>
          <w:lang w:eastAsia="zh-CN"/>
        </w:rPr>
      </w:pPr>
      <w:r>
        <w:rPr>
          <w:rFonts w:hint="eastAsia"/>
          <w:b/>
          <w:bCs/>
          <w:spacing w:val="-2"/>
          <w:lang w:eastAsia="zh-CN"/>
        </w:rPr>
        <w:t>四、竞赛日期：</w:t>
      </w:r>
      <w:r>
        <w:rPr>
          <w:rFonts w:hint="eastAsia"/>
          <w:spacing w:val="-7"/>
          <w:lang w:eastAsia="zh-CN"/>
        </w:rPr>
        <w:t>2026年7月21—25日（预选赛）</w:t>
      </w:r>
    </w:p>
    <w:p w14:paraId="5671219B">
      <w:pPr>
        <w:pStyle w:val="3"/>
        <w:keepNext w:val="0"/>
        <w:keepLines w:val="0"/>
        <w:pageBreakBefore w:val="0"/>
        <w:widowControl/>
        <w:kinsoku w:val="0"/>
        <w:wordWrap/>
        <w:overflowPunct/>
        <w:topLinePunct w:val="0"/>
        <w:autoSpaceDE w:val="0"/>
        <w:autoSpaceDN w:val="0"/>
        <w:bidi w:val="0"/>
        <w:adjustRightInd w:val="0"/>
        <w:snapToGrid w:val="0"/>
        <w:spacing w:after="0" w:line="540" w:lineRule="exact"/>
        <w:ind w:firstLine="2527" w:firstLineChars="950"/>
        <w:textAlignment w:val="baseline"/>
        <w:rPr>
          <w:spacing w:val="-7"/>
          <w:lang w:eastAsia="zh-CN"/>
        </w:rPr>
      </w:pPr>
      <w:r>
        <w:rPr>
          <w:rFonts w:hint="eastAsia"/>
          <w:spacing w:val="-7"/>
          <w:lang w:eastAsia="zh-CN"/>
        </w:rPr>
        <w:t>2026年10月1—5日（决赛）</w:t>
      </w:r>
    </w:p>
    <w:p w14:paraId="78674074">
      <w:pPr>
        <w:pStyle w:val="3"/>
        <w:numPr>
          <w:ilvl w:val="0"/>
          <w:numId w:val="1"/>
        </w:numPr>
        <w:spacing w:after="0" w:line="540" w:lineRule="exact"/>
        <w:ind w:firstLine="534" w:firstLineChars="200"/>
        <w:rPr>
          <w:b/>
          <w:bCs/>
          <w:spacing w:val="-7"/>
          <w:lang w:eastAsia="zh-CN"/>
        </w:rPr>
      </w:pPr>
      <w:r>
        <w:rPr>
          <w:rFonts w:hint="eastAsia"/>
          <w:b/>
          <w:bCs/>
          <w:spacing w:val="-7"/>
          <w:lang w:eastAsia="zh-CN"/>
        </w:rPr>
        <w:t>竞赛地点：</w:t>
      </w:r>
    </w:p>
    <w:p w14:paraId="7E1AA29D">
      <w:pPr>
        <w:pStyle w:val="3"/>
        <w:numPr>
          <w:ilvl w:val="255"/>
          <w:numId w:val="0"/>
        </w:numPr>
        <w:spacing w:after="0" w:line="540" w:lineRule="exact"/>
        <w:ind w:firstLine="532" w:firstLineChars="200"/>
        <w:rPr>
          <w:spacing w:val="-7"/>
          <w:lang w:eastAsia="zh-CN"/>
        </w:rPr>
      </w:pPr>
      <w:r>
        <w:rPr>
          <w:rFonts w:hint="eastAsia"/>
          <w:spacing w:val="-7"/>
          <w:lang w:eastAsia="zh-CN"/>
        </w:rPr>
        <w:t>预选赛：博宽羽毛球馆（上海市浦东新区川安路550号）</w:t>
      </w:r>
    </w:p>
    <w:p w14:paraId="4D232B26">
      <w:pPr>
        <w:pStyle w:val="3"/>
        <w:numPr>
          <w:ilvl w:val="255"/>
          <w:numId w:val="0"/>
        </w:numPr>
        <w:spacing w:after="0" w:line="540" w:lineRule="exact"/>
        <w:ind w:firstLine="532" w:firstLineChars="200"/>
        <w:rPr>
          <w:lang w:eastAsia="zh-CN"/>
        </w:rPr>
      </w:pPr>
      <w:r>
        <w:rPr>
          <w:rFonts w:hint="eastAsia"/>
          <w:spacing w:val="-7"/>
          <w:lang w:eastAsia="zh-CN"/>
        </w:rPr>
        <w:t>决  赛：源深体育中心（上海市浦东新区张杨路1458号源深体育中心）</w:t>
      </w:r>
    </w:p>
    <w:p w14:paraId="593B2399">
      <w:pPr>
        <w:pStyle w:val="3"/>
        <w:spacing w:after="0" w:line="540" w:lineRule="exact"/>
        <w:ind w:firstLine="550" w:firstLineChars="200"/>
        <w:rPr>
          <w:lang w:eastAsia="zh-CN"/>
        </w:rPr>
      </w:pPr>
      <w:r>
        <w:rPr>
          <w:rFonts w:hint="eastAsia"/>
          <w:b/>
          <w:bCs/>
          <w:spacing w:val="-3"/>
          <w:lang w:eastAsia="zh-CN"/>
        </w:rPr>
        <w:t>六、参赛单位</w:t>
      </w:r>
      <w:r>
        <w:rPr>
          <w:rFonts w:hint="eastAsia"/>
          <w:spacing w:val="-3"/>
          <w:lang w:eastAsia="zh-CN"/>
        </w:rPr>
        <w:t>：本市各区</w:t>
      </w:r>
    </w:p>
    <w:p w14:paraId="4CD199C5">
      <w:pPr>
        <w:pStyle w:val="3"/>
        <w:spacing w:after="0" w:line="540" w:lineRule="exact"/>
        <w:ind w:firstLine="542" w:firstLineChars="200"/>
        <w:rPr>
          <w:b/>
          <w:bCs/>
          <w:spacing w:val="-5"/>
          <w:lang w:eastAsia="zh-CN"/>
        </w:rPr>
      </w:pPr>
      <w:r>
        <w:rPr>
          <w:rFonts w:hint="eastAsia"/>
          <w:b/>
          <w:bCs/>
          <w:spacing w:val="-5"/>
          <w:lang w:eastAsia="zh-CN"/>
        </w:rPr>
        <w:t>七、年龄组别和小项设置</w:t>
      </w:r>
    </w:p>
    <w:tbl>
      <w:tblPr>
        <w:tblStyle w:val="7"/>
        <w:tblW w:w="4606" w:type="pct"/>
        <w:jc w:val="center"/>
        <w:tblLayout w:type="fixed"/>
        <w:tblCellMar>
          <w:top w:w="0" w:type="dxa"/>
          <w:left w:w="108" w:type="dxa"/>
          <w:bottom w:w="0" w:type="dxa"/>
          <w:right w:w="108" w:type="dxa"/>
        </w:tblCellMar>
      </w:tblPr>
      <w:tblGrid>
        <w:gridCol w:w="900"/>
        <w:gridCol w:w="1968"/>
        <w:gridCol w:w="1017"/>
        <w:gridCol w:w="2265"/>
        <w:gridCol w:w="2355"/>
      </w:tblGrid>
      <w:tr w14:paraId="675D93C9">
        <w:tblPrEx>
          <w:tblCellMar>
            <w:top w:w="0" w:type="dxa"/>
            <w:left w:w="108" w:type="dxa"/>
            <w:bottom w:w="0" w:type="dxa"/>
            <w:right w:w="108" w:type="dxa"/>
          </w:tblCellMar>
        </w:tblPrEx>
        <w:trPr>
          <w:trHeight w:val="420" w:hRule="atLeast"/>
          <w:jc w:val="center"/>
        </w:trPr>
        <w:tc>
          <w:tcPr>
            <w:tcW w:w="900" w:type="dxa"/>
            <w:vMerge w:val="restart"/>
            <w:tcBorders>
              <w:top w:val="single" w:color="000000" w:sz="4" w:space="0"/>
              <w:left w:val="single" w:color="000000" w:sz="4" w:space="0"/>
              <w:bottom w:val="single" w:color="000000" w:sz="4" w:space="0"/>
              <w:right w:val="nil"/>
            </w:tcBorders>
            <w:tcMar>
              <w:top w:w="57" w:type="dxa"/>
              <w:left w:w="57" w:type="dxa"/>
              <w:bottom w:w="57" w:type="dxa"/>
              <w:right w:w="57" w:type="dxa"/>
            </w:tcMar>
            <w:vAlign w:val="center"/>
          </w:tcPr>
          <w:p w14:paraId="2004F7B4">
            <w:pPr>
              <w:spacing w:after="0"/>
              <w:jc w:val="center"/>
              <w:textAlignment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lang w:eastAsia="zh-CN" w:bidi="ar"/>
                <w14:textFill>
                  <w14:solidFill>
                    <w14:schemeClr w14:val="tx1"/>
                  </w14:solidFill>
                </w14:textFill>
              </w:rPr>
              <w:t>组别</w:t>
            </w:r>
          </w:p>
        </w:tc>
        <w:tc>
          <w:tcPr>
            <w:tcW w:w="1968" w:type="dxa"/>
            <w:vMerge w:val="restart"/>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799F85C2">
            <w:pPr>
              <w:spacing w:after="0"/>
              <w:jc w:val="center"/>
              <w:textAlignment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lang w:eastAsia="zh-CN" w:bidi="ar"/>
                <w14:textFill>
                  <w14:solidFill>
                    <w14:schemeClr w14:val="tx1"/>
                  </w14:solidFill>
                </w14:textFill>
              </w:rPr>
              <w:t>年龄段</w:t>
            </w:r>
          </w:p>
        </w:tc>
        <w:tc>
          <w:tcPr>
            <w:tcW w:w="1017" w:type="dxa"/>
            <w:vMerge w:val="restart"/>
            <w:tcBorders>
              <w:top w:val="single" w:color="000000" w:sz="4" w:space="0"/>
              <w:left w:val="single" w:color="000000" w:sz="4" w:space="0"/>
              <w:bottom w:val="single" w:color="000000" w:sz="4" w:space="0"/>
              <w:right w:val="nil"/>
            </w:tcBorders>
            <w:tcMar>
              <w:top w:w="57" w:type="dxa"/>
              <w:left w:w="57" w:type="dxa"/>
              <w:bottom w:w="57" w:type="dxa"/>
              <w:right w:w="57" w:type="dxa"/>
            </w:tcMar>
            <w:vAlign w:val="center"/>
          </w:tcPr>
          <w:p w14:paraId="77DB6DB7">
            <w:pPr>
              <w:spacing w:after="0"/>
              <w:jc w:val="center"/>
              <w:textAlignment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lang w:eastAsia="zh-CN" w:bidi="ar"/>
                <w14:textFill>
                  <w14:solidFill>
                    <w14:schemeClr w14:val="tx1"/>
                  </w14:solidFill>
                </w14:textFill>
              </w:rPr>
              <w:t>设项数</w:t>
            </w:r>
          </w:p>
        </w:tc>
        <w:tc>
          <w:tcPr>
            <w:tcW w:w="4620" w:type="dxa"/>
            <w:gridSpan w:val="2"/>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380D0AA1">
            <w:pPr>
              <w:spacing w:after="0"/>
              <w:jc w:val="center"/>
              <w:textAlignment w:val="center"/>
              <w:rPr>
                <w:rFonts w:ascii="仿宋" w:hAnsi="仿宋" w:eastAsia="仿宋" w:cs="仿宋"/>
                <w:b/>
                <w:bCs/>
                <w:color w:val="000000" w:themeColor="text1"/>
                <w14:textFill>
                  <w14:solidFill>
                    <w14:schemeClr w14:val="tx1"/>
                  </w14:solidFill>
                </w14:textFill>
              </w:rPr>
            </w:pPr>
            <w:r>
              <w:rPr>
                <w:rStyle w:val="14"/>
                <w:rFonts w:hint="default" w:ascii="仿宋" w:hAnsi="仿宋" w:eastAsia="仿宋" w:cs="仿宋"/>
                <w:color w:val="000000" w:themeColor="text1"/>
                <w:sz w:val="21"/>
                <w:szCs w:val="21"/>
                <w:lang w:eastAsia="zh-CN" w:bidi="ar"/>
                <w14:textFill>
                  <w14:solidFill>
                    <w14:schemeClr w14:val="tx1"/>
                  </w14:solidFill>
                </w14:textFill>
              </w:rPr>
              <w:t>项目设置</w:t>
            </w:r>
          </w:p>
        </w:tc>
      </w:tr>
      <w:tr w14:paraId="2B61FAD8">
        <w:tblPrEx>
          <w:tblCellMar>
            <w:top w:w="0" w:type="dxa"/>
            <w:left w:w="108" w:type="dxa"/>
            <w:bottom w:w="0" w:type="dxa"/>
            <w:right w:w="108" w:type="dxa"/>
          </w:tblCellMar>
        </w:tblPrEx>
        <w:trPr>
          <w:trHeight w:val="420" w:hRule="atLeast"/>
          <w:jc w:val="center"/>
        </w:trPr>
        <w:tc>
          <w:tcPr>
            <w:tcW w:w="900" w:type="dxa"/>
            <w:vMerge w:val="continue"/>
            <w:tcBorders>
              <w:top w:val="single" w:color="000000" w:sz="4" w:space="0"/>
              <w:left w:val="single" w:color="000000" w:sz="4" w:space="0"/>
              <w:bottom w:val="single" w:color="000000" w:sz="4" w:space="0"/>
              <w:right w:val="nil"/>
            </w:tcBorders>
            <w:tcMar>
              <w:top w:w="57" w:type="dxa"/>
              <w:left w:w="57" w:type="dxa"/>
              <w:bottom w:w="57" w:type="dxa"/>
              <w:right w:w="57" w:type="dxa"/>
            </w:tcMar>
            <w:vAlign w:val="center"/>
          </w:tcPr>
          <w:p w14:paraId="0BFB62EF">
            <w:pPr>
              <w:spacing w:after="0"/>
              <w:jc w:val="center"/>
              <w:rPr>
                <w:rFonts w:ascii="仿宋" w:hAnsi="仿宋" w:eastAsia="仿宋" w:cs="仿宋"/>
                <w:b/>
                <w:bCs/>
                <w:color w:val="000000" w:themeColor="text1"/>
                <w14:textFill>
                  <w14:solidFill>
                    <w14:schemeClr w14:val="tx1"/>
                  </w14:solidFill>
                </w14:textFill>
              </w:rPr>
            </w:pPr>
          </w:p>
        </w:tc>
        <w:tc>
          <w:tcPr>
            <w:tcW w:w="1968" w:type="dxa"/>
            <w:vMerge w:val="continue"/>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460F274B">
            <w:pPr>
              <w:spacing w:after="0"/>
              <w:jc w:val="center"/>
              <w:rPr>
                <w:rFonts w:ascii="仿宋" w:hAnsi="仿宋" w:eastAsia="仿宋" w:cs="仿宋"/>
                <w:b/>
                <w:bCs/>
                <w:color w:val="000000" w:themeColor="text1"/>
                <w14:textFill>
                  <w14:solidFill>
                    <w14:schemeClr w14:val="tx1"/>
                  </w14:solidFill>
                </w14:textFill>
              </w:rPr>
            </w:pPr>
          </w:p>
        </w:tc>
        <w:tc>
          <w:tcPr>
            <w:tcW w:w="1017" w:type="dxa"/>
            <w:vMerge w:val="continue"/>
            <w:tcBorders>
              <w:top w:val="single" w:color="000000" w:sz="4" w:space="0"/>
              <w:left w:val="single" w:color="000000" w:sz="4" w:space="0"/>
              <w:bottom w:val="single" w:color="000000" w:sz="4" w:space="0"/>
              <w:right w:val="nil"/>
            </w:tcBorders>
            <w:tcMar>
              <w:top w:w="57" w:type="dxa"/>
              <w:left w:w="57" w:type="dxa"/>
              <w:bottom w:w="57" w:type="dxa"/>
              <w:right w:w="57" w:type="dxa"/>
            </w:tcMar>
            <w:vAlign w:val="center"/>
          </w:tcPr>
          <w:p w14:paraId="4E633220">
            <w:pPr>
              <w:spacing w:after="0"/>
              <w:jc w:val="center"/>
              <w:rPr>
                <w:rFonts w:ascii="仿宋" w:hAnsi="仿宋" w:eastAsia="仿宋" w:cs="仿宋"/>
                <w:b/>
                <w:bCs/>
                <w:color w:val="000000" w:themeColor="text1"/>
                <w14:textFill>
                  <w14:solidFill>
                    <w14:schemeClr w14:val="tx1"/>
                  </w14:solidFill>
                </w14:textFill>
              </w:rPr>
            </w:pPr>
          </w:p>
        </w:tc>
        <w:tc>
          <w:tcPr>
            <w:tcW w:w="226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4E86D336">
            <w:pPr>
              <w:spacing w:after="0"/>
              <w:jc w:val="center"/>
              <w:textAlignment w:val="center"/>
              <w:rPr>
                <w:rFonts w:ascii="仿宋" w:hAnsi="仿宋" w:eastAsia="仿宋" w:cs="仿宋"/>
                <w:b/>
                <w:bCs/>
                <w:color w:val="000000" w:themeColor="text1"/>
                <w14:textFill>
                  <w14:solidFill>
                    <w14:schemeClr w14:val="tx1"/>
                  </w14:solidFill>
                </w14:textFill>
              </w:rPr>
            </w:pPr>
            <w:r>
              <w:rPr>
                <w:rStyle w:val="16"/>
                <w:rFonts w:hint="default" w:ascii="仿宋" w:hAnsi="仿宋" w:eastAsia="仿宋" w:cs="仿宋"/>
                <w:color w:val="000000" w:themeColor="text1"/>
                <w:sz w:val="21"/>
                <w:szCs w:val="21"/>
                <w:lang w:eastAsia="zh-CN" w:bidi="ar"/>
                <w14:textFill>
                  <w14:solidFill>
                    <w14:schemeClr w14:val="tx1"/>
                  </w14:solidFill>
                </w14:textFill>
              </w:rPr>
              <w:t>男子</w:t>
            </w:r>
          </w:p>
        </w:tc>
        <w:tc>
          <w:tcPr>
            <w:tcW w:w="235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25619370">
            <w:pPr>
              <w:spacing w:after="0"/>
              <w:jc w:val="center"/>
              <w:textAlignment w:val="center"/>
              <w:rPr>
                <w:rFonts w:ascii="仿宋" w:hAnsi="仿宋" w:eastAsia="仿宋" w:cs="仿宋"/>
                <w:b/>
                <w:bCs/>
                <w:color w:val="000000" w:themeColor="text1"/>
                <w14:textFill>
                  <w14:solidFill>
                    <w14:schemeClr w14:val="tx1"/>
                  </w14:solidFill>
                </w14:textFill>
              </w:rPr>
            </w:pPr>
            <w:r>
              <w:rPr>
                <w:rStyle w:val="16"/>
                <w:rFonts w:hint="default" w:ascii="仿宋" w:hAnsi="仿宋" w:eastAsia="仿宋" w:cs="仿宋"/>
                <w:color w:val="000000" w:themeColor="text1"/>
                <w:sz w:val="21"/>
                <w:szCs w:val="21"/>
                <w:lang w:eastAsia="zh-CN" w:bidi="ar"/>
                <w14:textFill>
                  <w14:solidFill>
                    <w14:schemeClr w14:val="tx1"/>
                  </w14:solidFill>
                </w14:textFill>
              </w:rPr>
              <w:t>女子</w:t>
            </w:r>
          </w:p>
        </w:tc>
      </w:tr>
      <w:tr w14:paraId="5B666806">
        <w:tblPrEx>
          <w:tblCellMar>
            <w:top w:w="0" w:type="dxa"/>
            <w:left w:w="108" w:type="dxa"/>
            <w:bottom w:w="0" w:type="dxa"/>
            <w:right w:w="108" w:type="dxa"/>
          </w:tblCellMar>
        </w:tblPrEx>
        <w:trPr>
          <w:trHeight w:val="420" w:hRule="atLeast"/>
          <w:jc w:val="center"/>
        </w:trPr>
        <w:tc>
          <w:tcPr>
            <w:tcW w:w="900" w:type="dxa"/>
            <w:vMerge w:val="restart"/>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68E0EB0F">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A</w:t>
            </w:r>
          </w:p>
        </w:tc>
        <w:tc>
          <w:tcPr>
            <w:tcW w:w="1968" w:type="dxa"/>
            <w:vMerge w:val="restart"/>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17A6A04D">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08.9.1-11.12.31</w:t>
            </w:r>
          </w:p>
        </w:tc>
        <w:tc>
          <w:tcPr>
            <w:tcW w:w="1017" w:type="dxa"/>
            <w:vMerge w:val="restart"/>
            <w:tcBorders>
              <w:top w:val="single" w:color="000000" w:sz="4" w:space="0"/>
              <w:left w:val="single" w:color="000000" w:sz="4" w:space="0"/>
              <w:bottom w:val="single" w:color="000000" w:sz="4" w:space="0"/>
              <w:right w:val="nil"/>
            </w:tcBorders>
            <w:tcMar>
              <w:top w:w="57" w:type="dxa"/>
              <w:left w:w="57" w:type="dxa"/>
              <w:bottom w:w="57" w:type="dxa"/>
              <w:right w:w="57" w:type="dxa"/>
            </w:tcMar>
            <w:vAlign w:val="center"/>
          </w:tcPr>
          <w:p w14:paraId="6E607B7E">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7</w:t>
            </w:r>
          </w:p>
        </w:tc>
        <w:tc>
          <w:tcPr>
            <w:tcW w:w="226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066E8298">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团体、单打、双打</w:t>
            </w:r>
          </w:p>
        </w:tc>
        <w:tc>
          <w:tcPr>
            <w:tcW w:w="235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5894B165">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团体、单打、双打</w:t>
            </w:r>
          </w:p>
        </w:tc>
      </w:tr>
      <w:tr w14:paraId="3984BF21">
        <w:tblPrEx>
          <w:tblCellMar>
            <w:top w:w="0" w:type="dxa"/>
            <w:left w:w="108" w:type="dxa"/>
            <w:bottom w:w="0" w:type="dxa"/>
            <w:right w:w="108" w:type="dxa"/>
          </w:tblCellMar>
        </w:tblPrEx>
        <w:trPr>
          <w:trHeight w:val="420" w:hRule="atLeast"/>
          <w:jc w:val="center"/>
        </w:trPr>
        <w:tc>
          <w:tcPr>
            <w:tcW w:w="900" w:type="dxa"/>
            <w:vMerge w:val="continue"/>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02B1A372">
            <w:pPr>
              <w:spacing w:after="0"/>
              <w:jc w:val="center"/>
              <w:rPr>
                <w:rFonts w:ascii="仿宋" w:hAnsi="仿宋" w:eastAsia="仿宋" w:cs="仿宋"/>
                <w:color w:val="000000" w:themeColor="text1"/>
                <w14:textFill>
                  <w14:solidFill>
                    <w14:schemeClr w14:val="tx1"/>
                  </w14:solidFill>
                </w14:textFill>
              </w:rPr>
            </w:pPr>
          </w:p>
        </w:tc>
        <w:tc>
          <w:tcPr>
            <w:tcW w:w="1968" w:type="dxa"/>
            <w:vMerge w:val="continue"/>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73D80A27">
            <w:pPr>
              <w:spacing w:after="0"/>
              <w:jc w:val="center"/>
              <w:rPr>
                <w:rFonts w:ascii="仿宋" w:hAnsi="仿宋" w:eastAsia="仿宋" w:cs="仿宋"/>
                <w:color w:val="000000" w:themeColor="text1"/>
                <w14:textFill>
                  <w14:solidFill>
                    <w14:schemeClr w14:val="tx1"/>
                  </w14:solidFill>
                </w14:textFill>
              </w:rPr>
            </w:pPr>
          </w:p>
        </w:tc>
        <w:tc>
          <w:tcPr>
            <w:tcW w:w="1017" w:type="dxa"/>
            <w:vMerge w:val="continue"/>
            <w:tcBorders>
              <w:top w:val="single" w:color="000000" w:sz="4" w:space="0"/>
              <w:left w:val="single" w:color="000000" w:sz="4" w:space="0"/>
              <w:bottom w:val="single" w:color="000000" w:sz="4" w:space="0"/>
              <w:right w:val="nil"/>
            </w:tcBorders>
            <w:tcMar>
              <w:top w:w="57" w:type="dxa"/>
              <w:left w:w="57" w:type="dxa"/>
              <w:bottom w:w="57" w:type="dxa"/>
              <w:right w:w="57" w:type="dxa"/>
            </w:tcMar>
            <w:vAlign w:val="center"/>
          </w:tcPr>
          <w:p w14:paraId="420A6DC9">
            <w:pPr>
              <w:spacing w:after="0"/>
              <w:jc w:val="center"/>
              <w:rPr>
                <w:rFonts w:ascii="仿宋" w:hAnsi="仿宋" w:eastAsia="仿宋" w:cs="仿宋"/>
                <w:color w:val="000000" w:themeColor="text1"/>
                <w14:textFill>
                  <w14:solidFill>
                    <w14:schemeClr w14:val="tx1"/>
                  </w14:solidFill>
                </w14:textFill>
              </w:rPr>
            </w:pPr>
          </w:p>
        </w:tc>
        <w:tc>
          <w:tcPr>
            <w:tcW w:w="4620" w:type="dxa"/>
            <w:gridSpan w:val="2"/>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25228CEA">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混合双打</w:t>
            </w:r>
          </w:p>
        </w:tc>
      </w:tr>
      <w:tr w14:paraId="60BE739A">
        <w:tblPrEx>
          <w:tblCellMar>
            <w:top w:w="0" w:type="dxa"/>
            <w:left w:w="108" w:type="dxa"/>
            <w:bottom w:w="0" w:type="dxa"/>
            <w:right w:w="108" w:type="dxa"/>
          </w:tblCellMar>
        </w:tblPrEx>
        <w:trPr>
          <w:trHeight w:val="420" w:hRule="atLeast"/>
          <w:jc w:val="center"/>
        </w:trPr>
        <w:tc>
          <w:tcPr>
            <w:tcW w:w="900"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34A531D3">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B</w:t>
            </w:r>
          </w:p>
        </w:tc>
        <w:tc>
          <w:tcPr>
            <w:tcW w:w="1968"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40754784">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12.1.1-13.12.31</w:t>
            </w:r>
          </w:p>
        </w:tc>
        <w:tc>
          <w:tcPr>
            <w:tcW w:w="1017" w:type="dxa"/>
            <w:tcBorders>
              <w:top w:val="single" w:color="000000" w:sz="4" w:space="0"/>
              <w:left w:val="single" w:color="000000" w:sz="4" w:space="0"/>
              <w:bottom w:val="single" w:color="000000" w:sz="4" w:space="0"/>
              <w:right w:val="nil"/>
            </w:tcBorders>
            <w:tcMar>
              <w:top w:w="57" w:type="dxa"/>
              <w:left w:w="57" w:type="dxa"/>
              <w:bottom w:w="57" w:type="dxa"/>
              <w:right w:w="57" w:type="dxa"/>
            </w:tcMar>
            <w:vAlign w:val="center"/>
          </w:tcPr>
          <w:p w14:paraId="6E4560F3">
            <w:pPr>
              <w:spacing w:after="0"/>
              <w:jc w:val="center"/>
              <w:textAlignment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6</w:t>
            </w:r>
          </w:p>
        </w:tc>
        <w:tc>
          <w:tcPr>
            <w:tcW w:w="226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76A54DD9">
            <w:pPr>
              <w:spacing w:after="0"/>
              <w:jc w:val="center"/>
              <w:textAlignment w:val="center"/>
              <w:rPr>
                <w:rFonts w:ascii="仿宋" w:hAnsi="仿宋" w:eastAsia="仿宋" w:cs="仿宋"/>
                <w:color w:val="000000" w:themeColor="text1"/>
                <w:lang w:eastAsia="zh-CN" w:bidi="ar"/>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团体、单打、双打</w:t>
            </w:r>
          </w:p>
        </w:tc>
        <w:tc>
          <w:tcPr>
            <w:tcW w:w="235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3EA87C89">
            <w:pPr>
              <w:spacing w:after="0"/>
              <w:jc w:val="center"/>
              <w:textAlignment w:val="center"/>
              <w:rPr>
                <w:rFonts w:ascii="仿宋" w:hAnsi="仿宋" w:eastAsia="仿宋" w:cs="仿宋"/>
                <w:color w:val="000000" w:themeColor="text1"/>
                <w:lang w:eastAsia="zh-CN" w:bidi="ar"/>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团体、单打、双打</w:t>
            </w:r>
          </w:p>
        </w:tc>
      </w:tr>
      <w:tr w14:paraId="100288FD">
        <w:tblPrEx>
          <w:tblCellMar>
            <w:top w:w="0" w:type="dxa"/>
            <w:left w:w="108" w:type="dxa"/>
            <w:bottom w:w="0" w:type="dxa"/>
            <w:right w:w="108" w:type="dxa"/>
          </w:tblCellMar>
        </w:tblPrEx>
        <w:trPr>
          <w:trHeight w:val="420" w:hRule="atLeast"/>
          <w:jc w:val="center"/>
        </w:trPr>
        <w:tc>
          <w:tcPr>
            <w:tcW w:w="900"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0565C100">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C</w:t>
            </w:r>
          </w:p>
        </w:tc>
        <w:tc>
          <w:tcPr>
            <w:tcW w:w="1968"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2BA9DF9D">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14.1.1-14.12.31</w:t>
            </w:r>
          </w:p>
        </w:tc>
        <w:tc>
          <w:tcPr>
            <w:tcW w:w="1017" w:type="dxa"/>
            <w:tcBorders>
              <w:top w:val="single" w:color="000000" w:sz="4" w:space="0"/>
              <w:left w:val="single" w:color="000000" w:sz="4" w:space="0"/>
              <w:bottom w:val="single" w:color="000000" w:sz="4" w:space="0"/>
              <w:right w:val="nil"/>
            </w:tcBorders>
            <w:tcMar>
              <w:top w:w="57" w:type="dxa"/>
              <w:left w:w="57" w:type="dxa"/>
              <w:bottom w:w="57" w:type="dxa"/>
              <w:right w:w="57" w:type="dxa"/>
            </w:tcMar>
            <w:vAlign w:val="center"/>
          </w:tcPr>
          <w:p w14:paraId="2EF44FDF">
            <w:pPr>
              <w:spacing w:after="0"/>
              <w:jc w:val="center"/>
              <w:textAlignment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6</w:t>
            </w:r>
          </w:p>
        </w:tc>
        <w:tc>
          <w:tcPr>
            <w:tcW w:w="226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6DA8DC93">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团体、单打、双打</w:t>
            </w:r>
          </w:p>
        </w:tc>
        <w:tc>
          <w:tcPr>
            <w:tcW w:w="235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0222E6F2">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团体、单打、双打</w:t>
            </w:r>
          </w:p>
        </w:tc>
      </w:tr>
      <w:tr w14:paraId="3A7406BF">
        <w:tblPrEx>
          <w:tblCellMar>
            <w:top w:w="0" w:type="dxa"/>
            <w:left w:w="108" w:type="dxa"/>
            <w:bottom w:w="0" w:type="dxa"/>
            <w:right w:w="108" w:type="dxa"/>
          </w:tblCellMar>
        </w:tblPrEx>
        <w:trPr>
          <w:trHeight w:val="420" w:hRule="atLeast"/>
          <w:jc w:val="center"/>
        </w:trPr>
        <w:tc>
          <w:tcPr>
            <w:tcW w:w="900"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4C4E18CB">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D</w:t>
            </w:r>
          </w:p>
        </w:tc>
        <w:tc>
          <w:tcPr>
            <w:tcW w:w="1968"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6B1A0E24">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15.1.1-15.12.31</w:t>
            </w:r>
          </w:p>
        </w:tc>
        <w:tc>
          <w:tcPr>
            <w:tcW w:w="1017" w:type="dxa"/>
            <w:tcBorders>
              <w:top w:val="single" w:color="000000" w:sz="4" w:space="0"/>
              <w:left w:val="single" w:color="000000" w:sz="4" w:space="0"/>
              <w:bottom w:val="single" w:color="000000" w:sz="4" w:space="0"/>
              <w:right w:val="nil"/>
            </w:tcBorders>
            <w:tcMar>
              <w:top w:w="57" w:type="dxa"/>
              <w:left w:w="57" w:type="dxa"/>
              <w:bottom w:w="57" w:type="dxa"/>
              <w:right w:w="57" w:type="dxa"/>
            </w:tcMar>
            <w:vAlign w:val="center"/>
          </w:tcPr>
          <w:p w14:paraId="619D7895">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4</w:t>
            </w:r>
          </w:p>
        </w:tc>
        <w:tc>
          <w:tcPr>
            <w:tcW w:w="226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7127CF8E">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团体、单打</w:t>
            </w:r>
          </w:p>
        </w:tc>
        <w:tc>
          <w:tcPr>
            <w:tcW w:w="235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1F527C37">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团体、单打</w:t>
            </w:r>
          </w:p>
        </w:tc>
      </w:tr>
      <w:tr w14:paraId="26EBEBD3">
        <w:tblPrEx>
          <w:tblCellMar>
            <w:top w:w="0" w:type="dxa"/>
            <w:left w:w="108" w:type="dxa"/>
            <w:bottom w:w="0" w:type="dxa"/>
            <w:right w:w="108" w:type="dxa"/>
          </w:tblCellMar>
        </w:tblPrEx>
        <w:trPr>
          <w:trHeight w:val="420" w:hRule="atLeast"/>
          <w:jc w:val="center"/>
        </w:trPr>
        <w:tc>
          <w:tcPr>
            <w:tcW w:w="900"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1033B325">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E</w:t>
            </w:r>
          </w:p>
        </w:tc>
        <w:tc>
          <w:tcPr>
            <w:tcW w:w="1968"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2A6C392E">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16.1.1-16.12.31</w:t>
            </w:r>
          </w:p>
        </w:tc>
        <w:tc>
          <w:tcPr>
            <w:tcW w:w="1017" w:type="dxa"/>
            <w:tcBorders>
              <w:top w:val="single" w:color="000000" w:sz="4" w:space="0"/>
              <w:left w:val="single" w:color="000000" w:sz="4" w:space="0"/>
              <w:bottom w:val="single" w:color="000000" w:sz="4" w:space="0"/>
              <w:right w:val="nil"/>
            </w:tcBorders>
            <w:tcMar>
              <w:top w:w="57" w:type="dxa"/>
              <w:left w:w="57" w:type="dxa"/>
              <w:bottom w:w="57" w:type="dxa"/>
              <w:right w:w="57" w:type="dxa"/>
            </w:tcMar>
            <w:vAlign w:val="center"/>
          </w:tcPr>
          <w:p w14:paraId="14DA7008">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4</w:t>
            </w:r>
          </w:p>
        </w:tc>
        <w:tc>
          <w:tcPr>
            <w:tcW w:w="226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1B089FFA">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团体、单打</w:t>
            </w:r>
          </w:p>
        </w:tc>
        <w:tc>
          <w:tcPr>
            <w:tcW w:w="235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34EDEEB8">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团体、单打</w:t>
            </w:r>
          </w:p>
        </w:tc>
      </w:tr>
      <w:tr w14:paraId="01DBCE0E">
        <w:tblPrEx>
          <w:tblCellMar>
            <w:top w:w="0" w:type="dxa"/>
            <w:left w:w="108" w:type="dxa"/>
            <w:bottom w:w="0" w:type="dxa"/>
            <w:right w:w="108" w:type="dxa"/>
          </w:tblCellMar>
        </w:tblPrEx>
        <w:trPr>
          <w:trHeight w:val="420" w:hRule="atLeast"/>
          <w:jc w:val="center"/>
        </w:trPr>
        <w:tc>
          <w:tcPr>
            <w:tcW w:w="900"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43C2D578">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F</w:t>
            </w:r>
          </w:p>
        </w:tc>
        <w:tc>
          <w:tcPr>
            <w:tcW w:w="1968"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248431F0">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17.1.1-17.12.31</w:t>
            </w:r>
          </w:p>
        </w:tc>
        <w:tc>
          <w:tcPr>
            <w:tcW w:w="1017" w:type="dxa"/>
            <w:tcBorders>
              <w:top w:val="single" w:color="000000" w:sz="4" w:space="0"/>
              <w:left w:val="single" w:color="000000" w:sz="4" w:space="0"/>
              <w:bottom w:val="single" w:color="000000" w:sz="4" w:space="0"/>
              <w:right w:val="nil"/>
            </w:tcBorders>
            <w:tcMar>
              <w:top w:w="57" w:type="dxa"/>
              <w:left w:w="57" w:type="dxa"/>
              <w:bottom w:w="57" w:type="dxa"/>
              <w:right w:w="57" w:type="dxa"/>
            </w:tcMar>
            <w:vAlign w:val="center"/>
          </w:tcPr>
          <w:p w14:paraId="7E7C99C1">
            <w:pPr>
              <w:spacing w:after="0"/>
              <w:jc w:val="center"/>
              <w:textAlignment w:val="center"/>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2</w:t>
            </w:r>
          </w:p>
        </w:tc>
        <w:tc>
          <w:tcPr>
            <w:tcW w:w="226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0D236B97">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团体</w:t>
            </w:r>
          </w:p>
        </w:tc>
        <w:tc>
          <w:tcPr>
            <w:tcW w:w="2355" w:type="dxa"/>
            <w:tcBorders>
              <w:top w:val="single" w:color="000000" w:sz="4" w:space="0"/>
              <w:left w:val="single" w:color="000000" w:sz="4" w:space="0"/>
              <w:bottom w:val="single" w:color="000000" w:sz="4" w:space="0"/>
              <w:right w:val="single" w:color="000000" w:sz="4" w:space="0"/>
            </w:tcBorders>
            <w:tcMar>
              <w:top w:w="57" w:type="dxa"/>
              <w:left w:w="57" w:type="dxa"/>
              <w:bottom w:w="57" w:type="dxa"/>
              <w:right w:w="57" w:type="dxa"/>
            </w:tcMar>
            <w:vAlign w:val="center"/>
          </w:tcPr>
          <w:p w14:paraId="22E337AE">
            <w:pPr>
              <w:spacing w:after="0"/>
              <w:jc w:val="center"/>
              <w:textAlignment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lang w:eastAsia="zh-CN" w:bidi="ar"/>
                <w14:textFill>
                  <w14:solidFill>
                    <w14:schemeClr w14:val="tx1"/>
                  </w14:solidFill>
                </w14:textFill>
              </w:rPr>
              <w:t>团体</w:t>
            </w:r>
          </w:p>
        </w:tc>
      </w:tr>
    </w:tbl>
    <w:p w14:paraId="687C9945">
      <w:pPr>
        <w:pStyle w:val="3"/>
        <w:spacing w:after="0" w:line="540" w:lineRule="exact"/>
        <w:ind w:firstLine="542" w:firstLineChars="200"/>
      </w:pPr>
      <w:r>
        <w:rPr>
          <w:rFonts w:hint="eastAsia"/>
          <w:b/>
          <w:bCs/>
          <w:spacing w:val="-5"/>
        </w:rPr>
        <w:t>八、参赛资格</w:t>
      </w:r>
    </w:p>
    <w:p w14:paraId="0F10D007">
      <w:pPr>
        <w:spacing w:after="0" w:line="540" w:lineRule="exact"/>
        <w:ind w:firstLine="560" w:firstLineChars="200"/>
        <w:rPr>
          <w:rFonts w:ascii="仿宋" w:hAnsi="仿宋" w:eastAsia="仿宋" w:cs="仿宋"/>
          <w:color w:val="0000FF"/>
          <w:sz w:val="28"/>
          <w:szCs w:val="28"/>
          <w:lang w:eastAsia="zh-CN"/>
        </w:rPr>
      </w:pPr>
      <w:r>
        <w:rPr>
          <w:rFonts w:hint="eastAsia" w:ascii="仿宋" w:hAnsi="仿宋" w:eastAsia="仿宋" w:cs="仿宋"/>
          <w:sz w:val="28"/>
          <w:szCs w:val="28"/>
          <w:lang w:eastAsia="zh-CN"/>
        </w:rPr>
        <w:t>（一）运动员须具有中国国籍（包括港、澳、台）。运动员须经医务部门检查，证明身体健康，适合参赛。</w:t>
      </w:r>
    </w:p>
    <w:p w14:paraId="13094C80">
      <w:pPr>
        <w:spacing w:after="0" w:line="540" w:lineRule="exact"/>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（二）每名运动员只能代表一个单位（代表团）参赛；运动员不得跨越组别参赛。</w:t>
      </w:r>
    </w:p>
    <w:p w14:paraId="66C88791">
      <w:pPr>
        <w:spacing w:after="0" w:line="540" w:lineRule="exact"/>
        <w:ind w:firstLine="560" w:firstLineChars="200"/>
        <w:rPr>
          <w:rFonts w:ascii="仿宋" w:hAnsi="仿宋" w:eastAsia="仿宋" w:cs="仿宋"/>
          <w:sz w:val="28"/>
          <w:szCs w:val="28"/>
          <w:lang w:eastAsia="zh-CN"/>
        </w:rPr>
      </w:pPr>
      <w:bookmarkStart w:id="0" w:name="_Hlk94972236"/>
      <w:r>
        <w:rPr>
          <w:rFonts w:hint="eastAsia" w:ascii="仿宋" w:hAnsi="仿宋" w:eastAsia="仿宋" w:cs="仿宋"/>
          <w:sz w:val="28"/>
          <w:szCs w:val="28"/>
          <w:lang w:eastAsia="zh-CN"/>
        </w:rPr>
        <w:t>（三）参赛运动员必须是2026年在本市有效注册的青少年运动员，并持本人当年有效的《上海市青少年运动员注册卡》参赛。</w:t>
      </w:r>
      <w:bookmarkEnd w:id="0"/>
    </w:p>
    <w:p w14:paraId="1416B229">
      <w:pPr>
        <w:spacing w:after="0"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sz w:val="28"/>
          <w:szCs w:val="28"/>
          <w:lang w:eastAsia="zh-CN"/>
        </w:rPr>
        <w:t>（四）</w:t>
      </w:r>
      <w:r>
        <w:rPr>
          <w:rFonts w:hint="eastAsia" w:ascii="仿宋" w:hAnsi="仿宋" w:eastAsia="仿宋" w:cs="仿宋"/>
          <w:color w:val="000000" w:themeColor="text1"/>
          <w:sz w:val="28"/>
          <w:szCs w:val="28"/>
          <w:lang w:eastAsia="zh-CN"/>
          <w14:textFill>
            <w14:solidFill>
              <w14:schemeClr w14:val="tx1"/>
            </w14:solidFill>
          </w14:textFill>
        </w:rPr>
        <w:t>参赛运动员须参加2026年上海市羽毛球项目统一组织的体能测试赛，且B-F组准入标准分为40分，方可参赛。</w:t>
      </w:r>
    </w:p>
    <w:p w14:paraId="10FBFA2C">
      <w:pPr>
        <w:spacing w:after="0" w:line="540" w:lineRule="exact"/>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2DB91B70">
      <w:pPr>
        <w:spacing w:after="0" w:line="540" w:lineRule="exact"/>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（六）2026年已在外省市注册或代表外省市在国家体育总局注册的运动员不得参加比赛，经上海市体育局批准同意交流至外省市的运动员除外。</w:t>
      </w:r>
    </w:p>
    <w:p w14:paraId="315E6D08">
      <w:pPr>
        <w:numPr>
          <w:ilvl w:val="255"/>
          <w:numId w:val="0"/>
        </w:numPr>
        <w:spacing w:after="0" w:line="540" w:lineRule="exact"/>
        <w:ind w:firstLine="544" w:firstLineChars="200"/>
        <w:rPr>
          <w:rFonts w:ascii="仿宋" w:hAnsi="仿宋" w:eastAsia="仿宋" w:cs="仿宋"/>
          <w:spacing w:val="-4"/>
          <w:sz w:val="28"/>
          <w:szCs w:val="28"/>
          <w:lang w:eastAsia="zh-CN"/>
        </w:rPr>
      </w:pPr>
      <w:r>
        <w:rPr>
          <w:rFonts w:hint="eastAsia" w:ascii="仿宋" w:hAnsi="仿宋" w:eastAsia="仿宋" w:cs="仿宋"/>
          <w:spacing w:val="-4"/>
          <w:sz w:val="28"/>
          <w:szCs w:val="28"/>
          <w:lang w:eastAsia="zh-CN"/>
        </w:rPr>
        <w:t>（七）本市市属青少年高水平运动队在编运动员代表注册单位参赛。</w:t>
      </w:r>
    </w:p>
    <w:p w14:paraId="0E89A17A">
      <w:pPr>
        <w:numPr>
          <w:ilvl w:val="255"/>
          <w:numId w:val="0"/>
        </w:numPr>
        <w:spacing w:after="0" w:line="540" w:lineRule="exact"/>
        <w:ind w:firstLine="544" w:firstLineChars="200"/>
        <w:rPr>
          <w:rFonts w:ascii="仿宋" w:hAnsi="仿宋" w:eastAsia="仿宋" w:cs="仿宋"/>
          <w:spacing w:val="-4"/>
          <w:sz w:val="28"/>
          <w:szCs w:val="28"/>
          <w:lang w:eastAsia="zh-CN"/>
        </w:rPr>
      </w:pPr>
      <w:r>
        <w:rPr>
          <w:rFonts w:hint="eastAsia" w:ascii="仿宋" w:hAnsi="仿宋" w:eastAsia="仿宋" w:cs="仿宋"/>
          <w:spacing w:val="-4"/>
          <w:sz w:val="28"/>
          <w:szCs w:val="28"/>
          <w:lang w:eastAsia="zh-CN"/>
        </w:rPr>
        <w:t>（八）</w:t>
      </w:r>
      <w:r>
        <w:rPr>
          <w:rFonts w:hint="eastAsia" w:ascii="仿宋" w:hAnsi="仿宋" w:eastAsia="仿宋" w:cs="仿宋"/>
          <w:sz w:val="28"/>
          <w:szCs w:val="28"/>
          <w:lang w:eastAsia="zh-CN"/>
        </w:rPr>
        <w:t>经市教委、市体育局共同认定的上海市高中阶段学校引进优秀体育学生，于2026年7月10日前办理注册手续的，可直接参加本届运动会。</w:t>
      </w:r>
    </w:p>
    <w:p w14:paraId="36191F12">
      <w:pPr>
        <w:spacing w:after="0" w:line="540" w:lineRule="exact"/>
        <w:ind w:firstLine="563" w:firstLineChars="203"/>
        <w:rPr>
          <w:rFonts w:ascii="仿宋" w:hAnsi="仿宋" w:eastAsia="仿宋" w:cs="仿宋"/>
          <w:b/>
          <w:bCs/>
          <w:spacing w:val="-2"/>
          <w:sz w:val="28"/>
          <w:szCs w:val="28"/>
          <w:lang w:eastAsia="zh-CN"/>
        </w:rPr>
      </w:pPr>
      <w:r>
        <w:rPr>
          <w:rFonts w:hint="eastAsia" w:ascii="仿宋" w:hAnsi="仿宋" w:eastAsia="仿宋" w:cs="仿宋"/>
          <w:b/>
          <w:bCs/>
          <w:spacing w:val="-2"/>
          <w:sz w:val="28"/>
          <w:szCs w:val="28"/>
          <w:lang w:eastAsia="zh-CN"/>
        </w:rPr>
        <w:t>九、参加办法</w:t>
      </w:r>
    </w:p>
    <w:p w14:paraId="1DD88AA9">
      <w:pPr>
        <w:spacing w:after="0" w:line="540" w:lineRule="exact"/>
        <w:ind w:firstLine="554" w:firstLineChars="203"/>
        <w:rPr>
          <w:rFonts w:ascii="仿宋" w:hAnsi="仿宋" w:eastAsia="仿宋" w:cs="仿宋"/>
          <w:color w:val="000000" w:themeColor="text1"/>
          <w:spacing w:val="-4"/>
          <w:sz w:val="28"/>
          <w:szCs w:val="28"/>
          <w:lang w:eastAsia="zh-CN"/>
          <w14:textFill>
            <w14:solidFill>
              <w14:schemeClr w14:val="tx1"/>
            </w14:solidFill>
          </w14:textFill>
        </w:rPr>
      </w:pPr>
      <w:r>
        <w:rPr>
          <w:rFonts w:hint="eastAsia" w:ascii="仿宋" w:hAnsi="仿宋" w:eastAsia="仿宋" w:cs="仿宋"/>
          <w:b/>
          <w:bCs/>
          <w:spacing w:val="-4"/>
          <w:sz w:val="28"/>
          <w:szCs w:val="28"/>
          <w:lang w:eastAsia="zh-CN"/>
        </w:rPr>
        <w:t>（一）</w:t>
      </w:r>
      <w:r>
        <w:rPr>
          <w:rFonts w:ascii="仿宋" w:hAnsi="仿宋" w:eastAsia="仿宋" w:cs="仿宋"/>
          <w:color w:val="000000" w:themeColor="text1"/>
          <w:spacing w:val="-4"/>
          <w:sz w:val="28"/>
          <w:szCs w:val="28"/>
          <w:lang w:eastAsia="zh-CN"/>
          <w14:textFill>
            <w14:solidFill>
              <w14:schemeClr w14:val="tx1"/>
            </w14:solidFill>
          </w14:textFill>
        </w:rPr>
        <w:t>本次比赛设预选赛和决赛两个阶段，其中预选赛与2026年上海市青少年羽毛球锦标赛相结合，预选赛参加办法见锦标赛竞赛规程。</w:t>
      </w:r>
    </w:p>
    <w:p w14:paraId="71EC3FC9">
      <w:pPr>
        <w:spacing w:after="0" w:line="540" w:lineRule="exact"/>
        <w:ind w:firstLine="563" w:firstLineChars="203"/>
        <w:rPr>
          <w:b/>
          <w:bCs/>
          <w:spacing w:val="-2"/>
          <w:lang w:eastAsia="zh-CN"/>
        </w:rPr>
      </w:pPr>
      <w:r>
        <w:rPr>
          <w:rFonts w:hint="eastAsia" w:ascii="仿宋" w:hAnsi="仿宋" w:eastAsia="仿宋" w:cs="仿宋"/>
          <w:b/>
          <w:bCs/>
          <w:spacing w:val="-2"/>
          <w:sz w:val="28"/>
          <w:szCs w:val="28"/>
          <w:lang w:eastAsia="zh-CN"/>
        </w:rPr>
        <w:t>（二）决赛阶段比赛</w:t>
      </w:r>
    </w:p>
    <w:p w14:paraId="318815BC">
      <w:pPr>
        <w:pStyle w:val="3"/>
        <w:spacing w:after="0" w:line="540" w:lineRule="exact"/>
        <w:ind w:firstLine="552" w:firstLineChars="200"/>
        <w:jc w:val="both"/>
        <w:rPr>
          <w:spacing w:val="-2"/>
          <w:lang w:eastAsia="zh-CN"/>
        </w:rPr>
      </w:pPr>
      <w:r>
        <w:rPr>
          <w:rFonts w:hint="eastAsia"/>
          <w:spacing w:val="-2"/>
          <w:lang w:eastAsia="zh-CN"/>
        </w:rPr>
        <w:t>1.各组别男、女各可报1支队，每队可报领队1名，教练员1-3名。</w:t>
      </w:r>
      <w:r>
        <w:rPr>
          <w:rFonts w:hint="eastAsia" w:ascii="仿宋_GB2312" w:hAnsi="仿宋_GB2312" w:eastAsia="仿宋_GB2312" w:cs="仿宋_GB2312"/>
          <w:szCs w:val="32"/>
          <w:lang w:eastAsia="zh-CN"/>
        </w:rPr>
        <w:t>本届市运会教练员须是2026年在本市有效注册的青训教练员，方可报名参赛。</w:t>
      </w:r>
    </w:p>
    <w:p w14:paraId="4CB68F4F">
      <w:pPr>
        <w:pStyle w:val="3"/>
        <w:spacing w:after="0" w:line="540" w:lineRule="exact"/>
        <w:ind w:firstLine="552" w:firstLineChars="200"/>
        <w:jc w:val="both"/>
        <w:rPr>
          <w:spacing w:val="-2"/>
          <w:lang w:eastAsia="zh-CN"/>
        </w:rPr>
      </w:pPr>
      <w:r>
        <w:rPr>
          <w:rFonts w:hint="eastAsia"/>
          <w:spacing w:val="-2"/>
          <w:lang w:eastAsia="zh-CN"/>
        </w:rPr>
        <w:t>2.所有组别团体赛</w:t>
      </w:r>
      <w:r>
        <w:rPr>
          <w:rFonts w:hint="eastAsia"/>
          <w:color w:val="000000" w:themeColor="text1"/>
          <w:spacing w:val="-1"/>
          <w:lang w:eastAsia="zh-CN"/>
          <w14:textFill>
            <w14:solidFill>
              <w14:schemeClr w14:val="tx1"/>
            </w14:solidFill>
          </w14:textFill>
        </w:rPr>
        <w:t>不受预选赛</w:t>
      </w:r>
      <w:r>
        <w:rPr>
          <w:rFonts w:hint="eastAsia"/>
          <w:spacing w:val="-2"/>
          <w:lang w:eastAsia="zh-CN"/>
        </w:rPr>
        <w:t>（锦标赛）</w:t>
      </w:r>
      <w:r>
        <w:rPr>
          <w:rFonts w:hint="eastAsia"/>
          <w:color w:val="000000" w:themeColor="text1"/>
          <w:spacing w:val="-1"/>
          <w:lang w:eastAsia="zh-CN"/>
          <w14:textFill>
            <w14:solidFill>
              <w14:schemeClr w14:val="tx1"/>
            </w14:solidFill>
          </w14:textFill>
        </w:rPr>
        <w:t>名次限制，可在满足参赛资格前提下报名，</w:t>
      </w:r>
      <w:r>
        <w:rPr>
          <w:rFonts w:hint="eastAsia"/>
          <w:color w:val="000000" w:themeColor="text1"/>
          <w:spacing w:val="-1"/>
          <w:lang w:val="en-US" w:eastAsia="zh-CN"/>
          <w14:textFill>
            <w14:solidFill>
              <w14:schemeClr w14:val="tx1"/>
            </w14:solidFill>
          </w14:textFill>
        </w:rPr>
        <w:t>每区男女各报1支队</w:t>
      </w:r>
      <w:r>
        <w:rPr>
          <w:rFonts w:hint="eastAsia"/>
          <w:spacing w:val="-2"/>
          <w:lang w:eastAsia="zh-CN"/>
        </w:rPr>
        <w:t>；预选赛（锦标赛）各组别单打前32名获得单打决赛阶段参赛资格；预选赛（锦标赛）B、C组双打前16名获得双打决赛阶段</w:t>
      </w:r>
      <w:r>
        <w:rPr>
          <w:rFonts w:hint="eastAsia"/>
          <w:color w:val="000000" w:themeColor="text1"/>
          <w:spacing w:val="-1"/>
          <w:lang w:eastAsia="zh-CN"/>
          <w14:textFill>
            <w14:solidFill>
              <w14:schemeClr w14:val="tx1"/>
            </w14:solidFill>
          </w14:textFill>
        </w:rPr>
        <w:t>参赛资格，</w:t>
      </w:r>
      <w:r>
        <w:rPr>
          <w:rFonts w:hint="eastAsia"/>
          <w:color w:val="000000" w:themeColor="text1"/>
          <w:spacing w:val="-1"/>
          <w:lang w:eastAsia="zh-CN"/>
          <w14:textFill>
            <w14:solidFill>
              <w14:schemeClr w14:val="tx1"/>
            </w14:solidFill>
          </w14:textFill>
        </w:rPr>
        <w:t>缺员不得递补。</w:t>
      </w:r>
    </w:p>
    <w:p w14:paraId="12A4A484">
      <w:pPr>
        <w:pStyle w:val="3"/>
        <w:spacing w:after="0" w:line="540" w:lineRule="exact"/>
        <w:ind w:firstLine="552" w:firstLineChars="200"/>
        <w:jc w:val="both"/>
        <w:rPr>
          <w:spacing w:val="-2"/>
          <w:lang w:eastAsia="zh-CN"/>
        </w:rPr>
      </w:pPr>
      <w:r>
        <w:rPr>
          <w:rFonts w:hint="eastAsia"/>
          <w:spacing w:val="-2"/>
          <w:lang w:eastAsia="zh-CN"/>
        </w:rPr>
        <w:t>3.运动员须服从国家队和上海队需要，完成重大</w:t>
      </w:r>
      <w:bookmarkStart w:id="2" w:name="_GoBack"/>
      <w:bookmarkEnd w:id="2"/>
      <w:r>
        <w:rPr>
          <w:rFonts w:hint="eastAsia"/>
          <w:spacing w:val="-2"/>
          <w:lang w:eastAsia="zh-CN"/>
        </w:rPr>
        <w:t>国际国内比赛的集训和参赛任务，因备战需要无法参加预选赛的运动员，经上海市竞技体育训练管理中心批准后可直接参加决赛。</w:t>
      </w:r>
    </w:p>
    <w:p w14:paraId="5148151F">
      <w:pPr>
        <w:pStyle w:val="3"/>
        <w:spacing w:after="0" w:line="540" w:lineRule="exact"/>
        <w:ind w:firstLine="552" w:firstLineChars="200"/>
        <w:jc w:val="both"/>
        <w:rPr>
          <w:spacing w:val="-2"/>
          <w:lang w:eastAsia="zh-CN"/>
        </w:rPr>
      </w:pPr>
      <w:r>
        <w:rPr>
          <w:rFonts w:hint="eastAsia"/>
          <w:spacing w:val="-2"/>
          <w:lang w:eastAsia="zh-CN"/>
        </w:rPr>
        <w:t>4.2023—2026年获得过全国青年锦标赛、全国U系列羽毛球比赛总决赛单打前三名的运动员可直接参加决赛阶段的比赛。</w:t>
      </w:r>
    </w:p>
    <w:p w14:paraId="555F36CE">
      <w:pPr>
        <w:pStyle w:val="3"/>
        <w:spacing w:after="0" w:line="540" w:lineRule="exact"/>
        <w:ind w:firstLine="552" w:firstLineChars="200"/>
        <w:jc w:val="both"/>
        <w:rPr>
          <w:spacing w:val="-2"/>
          <w:lang w:eastAsia="zh-CN"/>
        </w:rPr>
      </w:pPr>
      <w:r>
        <w:rPr>
          <w:rFonts w:hint="eastAsia"/>
          <w:spacing w:val="-2"/>
          <w:lang w:eastAsia="zh-CN"/>
        </w:rPr>
        <w:t>5.各组别市内交流运动员报名人数不得超过该项目该组别实际报名人数的30%。</w:t>
      </w:r>
    </w:p>
    <w:p w14:paraId="40C64FEF">
      <w:pPr>
        <w:pStyle w:val="3"/>
        <w:spacing w:after="0" w:line="540" w:lineRule="exact"/>
        <w:ind w:firstLine="552" w:firstLineChars="200"/>
        <w:jc w:val="both"/>
        <w:rPr>
          <w:spacing w:val="-2"/>
        </w:rPr>
      </w:pPr>
      <w:r>
        <w:rPr>
          <w:rFonts w:hint="eastAsia"/>
          <w:spacing w:val="-2"/>
          <w:lang w:eastAsia="zh-CN"/>
        </w:rPr>
        <w:t>6.</w:t>
      </w:r>
      <w:r>
        <w:rPr>
          <w:rFonts w:hint="eastAsia"/>
          <w:spacing w:val="-2"/>
        </w:rPr>
        <w:t>参赛单位通过大会指定的网站www.aijingsai.cn（上海青少年体育赛事网）进行网上报名，并在规定时间内将导出打印的报名表加盖公章后</w:t>
      </w:r>
      <w:r>
        <w:rPr>
          <w:rFonts w:hint="eastAsia"/>
          <w:spacing w:val="-2"/>
          <w:lang w:eastAsia="zh-CN"/>
        </w:rPr>
        <w:t>，</w:t>
      </w:r>
      <w:r>
        <w:rPr>
          <w:rFonts w:hint="eastAsia"/>
          <w:spacing w:val="-2"/>
        </w:rPr>
        <w:t>一式两份报大会组委会竞赛部（地址：徐汇区零陵路800号8楼，竞赛部</w:t>
      </w:r>
      <w:r>
        <w:rPr>
          <w:rFonts w:hint="eastAsia"/>
          <w:spacing w:val="-2"/>
          <w:lang w:eastAsia="zh-CN"/>
        </w:rPr>
        <w:t>，</w:t>
      </w:r>
      <w:r>
        <w:rPr>
          <w:rFonts w:hint="eastAsia"/>
          <w:spacing w:val="-2"/>
        </w:rPr>
        <w:t>31211118）</w:t>
      </w:r>
      <w:r>
        <w:rPr>
          <w:rFonts w:hint="eastAsia"/>
          <w:spacing w:val="-2"/>
          <w:lang w:eastAsia="zh-CN"/>
        </w:rPr>
        <w:t>。</w:t>
      </w:r>
    </w:p>
    <w:p w14:paraId="12F54829">
      <w:pPr>
        <w:pStyle w:val="3"/>
        <w:spacing w:after="0" w:line="540" w:lineRule="exact"/>
        <w:ind w:firstLine="542" w:firstLineChars="200"/>
        <w:rPr>
          <w:b/>
          <w:bCs/>
          <w:spacing w:val="-5"/>
          <w:lang w:eastAsia="zh-CN"/>
        </w:rPr>
      </w:pPr>
      <w:r>
        <w:rPr>
          <w:rFonts w:hint="eastAsia"/>
          <w:b/>
          <w:bCs/>
          <w:spacing w:val="-5"/>
          <w:lang w:eastAsia="zh-CN"/>
        </w:rPr>
        <w:t>十、竞赛办法</w:t>
      </w:r>
    </w:p>
    <w:p w14:paraId="66DE198B">
      <w:pPr>
        <w:spacing w:after="0" w:line="540" w:lineRule="exact"/>
        <w:ind w:firstLine="552" w:firstLineChars="200"/>
        <w:rPr>
          <w:rFonts w:ascii="仿宋" w:hAnsi="仿宋" w:eastAsia="仿宋" w:cs="仿宋"/>
          <w:spacing w:val="-2"/>
          <w:sz w:val="28"/>
          <w:szCs w:val="28"/>
          <w:lang w:eastAsia="zh-CN"/>
        </w:rPr>
      </w:pPr>
      <w:r>
        <w:rPr>
          <w:rFonts w:hint="eastAsia" w:ascii="仿宋" w:hAnsi="仿宋" w:eastAsia="仿宋" w:cs="仿宋"/>
          <w:spacing w:val="-2"/>
          <w:sz w:val="28"/>
          <w:szCs w:val="28"/>
          <w:lang w:eastAsia="zh-CN"/>
        </w:rPr>
        <w:t>（一）采用体育总局最新审定公布的《羽毛球竞赛规则2025》及中国羽毛球协会关于印发《全国青少年羽毛球比赛教练员、运动员比赛服装和服装广告管理规定》等有关规定。</w:t>
      </w:r>
    </w:p>
    <w:p w14:paraId="38B12F83">
      <w:pPr>
        <w:spacing w:after="0" w:line="540" w:lineRule="exact"/>
        <w:ind w:firstLine="552" w:firstLineChars="200"/>
        <w:rPr>
          <w:rFonts w:ascii="仿宋" w:hAnsi="仿宋" w:eastAsia="仿宋" w:cs="仿宋"/>
          <w:spacing w:val="-2"/>
          <w:sz w:val="28"/>
          <w:szCs w:val="28"/>
          <w:lang w:eastAsia="zh-CN"/>
        </w:rPr>
      </w:pPr>
      <w:r>
        <w:rPr>
          <w:rFonts w:hint="eastAsia" w:ascii="仿宋" w:hAnsi="仿宋" w:eastAsia="仿宋" w:cs="仿宋"/>
          <w:spacing w:val="-2"/>
          <w:sz w:val="28"/>
          <w:szCs w:val="28"/>
          <w:lang w:eastAsia="zh-CN"/>
        </w:rPr>
        <w:t>（二）比赛方法</w:t>
      </w:r>
    </w:p>
    <w:p w14:paraId="44FF7733">
      <w:pPr>
        <w:spacing w:after="0" w:line="540" w:lineRule="exact"/>
        <w:ind w:firstLine="843" w:firstLineChars="300"/>
        <w:rPr>
          <w:rFonts w:ascii="仿宋" w:hAnsi="仿宋" w:eastAsia="仿宋" w:cs="仿宋"/>
          <w:b/>
          <w:bCs/>
          <w:color w:val="000000" w:themeColor="text1"/>
          <w:sz w:val="28"/>
          <w:szCs w:val="28"/>
          <w:lang w:eastAsia="zh-CN"/>
          <w14:textFill>
            <w14:solidFill>
              <w14:schemeClr w14:val="tx1"/>
            </w14:solidFill>
          </w14:textFill>
        </w:rPr>
      </w:pPr>
      <w:r>
        <w:rPr>
          <w:rFonts w:hint="eastAsia" w:ascii="仿宋" w:hAnsi="仿宋" w:eastAsia="仿宋" w:cs="仿宋"/>
          <w:b/>
          <w:bCs/>
          <w:color w:val="000000" w:themeColor="text1"/>
          <w:sz w:val="28"/>
          <w:szCs w:val="28"/>
          <w:lang w:eastAsia="zh-CN"/>
          <w14:textFill>
            <w14:solidFill>
              <w14:schemeClr w14:val="tx1"/>
            </w14:solidFill>
          </w14:textFill>
        </w:rPr>
        <w:t>1.预选赛</w:t>
      </w:r>
    </w:p>
    <w:p w14:paraId="4F148394">
      <w:pPr>
        <w:spacing w:after="0" w:line="540" w:lineRule="exact"/>
        <w:ind w:left="838" w:leftChars="399" w:firstLine="0" w:firstLineChars="0"/>
        <w:rPr>
          <w:rFonts w:ascii="仿宋" w:hAnsi="仿宋" w:eastAsia="仿宋" w:cs="仿宋"/>
          <w:b/>
          <w:bCs/>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赛制、种子设定等详见2026年上海市青少年羽毛球锦标赛竞赛规程。</w:t>
      </w:r>
      <w:r>
        <w:rPr>
          <w:rFonts w:hint="eastAsia" w:ascii="仿宋" w:hAnsi="仿宋" w:eastAsia="仿宋" w:cs="仿宋"/>
          <w:b/>
          <w:bCs/>
          <w:color w:val="000000" w:themeColor="text1"/>
          <w:sz w:val="28"/>
          <w:szCs w:val="28"/>
          <w:lang w:eastAsia="zh-CN"/>
          <w14:textFill>
            <w14:solidFill>
              <w14:schemeClr w14:val="tx1"/>
            </w14:solidFill>
          </w14:textFill>
        </w:rPr>
        <w:t>2.决赛阶段比赛</w:t>
      </w:r>
    </w:p>
    <w:p w14:paraId="52DF1272">
      <w:pPr>
        <w:spacing w:after="0"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（1）所有组别所有项目比赛根据预选赛相应项目比赛成绩设定种子。</w:t>
      </w:r>
    </w:p>
    <w:p w14:paraId="7186E2BA">
      <w:pPr>
        <w:spacing w:after="0" w:line="540" w:lineRule="exact"/>
        <w:ind w:firstLine="552" w:firstLineChars="200"/>
        <w:rPr>
          <w:rFonts w:ascii="仿宋" w:hAnsi="仿宋" w:eastAsia="仿宋" w:cs="仿宋"/>
          <w:spacing w:val="-2"/>
          <w:sz w:val="28"/>
          <w:szCs w:val="28"/>
          <w:lang w:eastAsia="zh-CN"/>
        </w:rPr>
      </w:pPr>
      <w:r>
        <w:rPr>
          <w:rFonts w:hint="eastAsia" w:ascii="仿宋" w:hAnsi="仿宋" w:eastAsia="仿宋" w:cs="仿宋"/>
          <w:spacing w:val="-2"/>
          <w:sz w:val="28"/>
          <w:szCs w:val="28"/>
          <w:lang w:eastAsia="zh-CN"/>
        </w:rPr>
        <w:t>（2）各组别团体赛和单项赛第一阶</w:t>
      </w:r>
      <w:r>
        <w:rPr>
          <w:rFonts w:hint="eastAsia" w:ascii="仿宋" w:hAnsi="仿宋" w:eastAsia="仿宋" w:cs="仿宋"/>
          <w:strike w:val="0"/>
          <w:spacing w:val="-2"/>
          <w:sz w:val="28"/>
          <w:szCs w:val="28"/>
          <w:lang w:eastAsia="zh-CN"/>
        </w:rPr>
        <w:t>段采用分组单循环赛制，第二阶段采用单淘汰赛制，或同名次决赛决出各项目1-8名。</w:t>
      </w:r>
    </w:p>
    <w:p w14:paraId="5EB4F5BA">
      <w:pPr>
        <w:spacing w:after="0" w:line="540" w:lineRule="exact"/>
        <w:ind w:firstLine="552" w:firstLineChars="200"/>
        <w:rPr>
          <w:rFonts w:ascii="仿宋" w:hAnsi="仿宋" w:eastAsia="仿宋" w:cs="仿宋"/>
          <w:spacing w:val="-2"/>
          <w:sz w:val="28"/>
          <w:szCs w:val="28"/>
          <w:lang w:eastAsia="zh-CN"/>
        </w:rPr>
      </w:pPr>
      <w:r>
        <w:rPr>
          <w:rFonts w:hint="eastAsia" w:ascii="仿宋" w:hAnsi="仿宋" w:eastAsia="仿宋" w:cs="仿宋"/>
          <w:spacing w:val="-2"/>
          <w:sz w:val="28"/>
          <w:szCs w:val="28"/>
          <w:lang w:eastAsia="zh-CN"/>
        </w:rPr>
        <w:t>（3）团体赛比赛规则：每场团体比赛由三场单项比赛组成</w:t>
      </w:r>
      <w:bookmarkStart w:id="1" w:name="_Hlk169081197"/>
      <w:r>
        <w:rPr>
          <w:rFonts w:hint="eastAsia" w:ascii="仿宋" w:hAnsi="仿宋" w:eastAsia="仿宋" w:cs="仿宋"/>
          <w:spacing w:val="-2"/>
          <w:sz w:val="28"/>
          <w:szCs w:val="28"/>
          <w:lang w:eastAsia="zh-CN"/>
        </w:rPr>
        <w:t>，先胜两场的队即获得该次团体赛胜利，不再进行第三场比赛。A组团体赛第一阶段（循环赛）须赛满3场。</w:t>
      </w:r>
      <w:bookmarkEnd w:id="1"/>
      <w:r>
        <w:rPr>
          <w:rFonts w:hint="eastAsia" w:ascii="仿宋" w:hAnsi="仿宋" w:eastAsia="仿宋" w:cs="仿宋"/>
          <w:spacing w:val="-2"/>
          <w:sz w:val="28"/>
          <w:szCs w:val="28"/>
          <w:lang w:eastAsia="zh-CN"/>
        </w:rPr>
        <w:t>A、B、C组比赛次序依次为：第一单打、双打、第二单打，每场团体赛运动员出场名单可自由排列，运动员不得兼项参赛。D、E、F组设三场单打，</w:t>
      </w:r>
      <w:r>
        <w:rPr>
          <w:rFonts w:hint="eastAsia" w:ascii="仿宋" w:hAnsi="仿宋" w:eastAsia="仿宋" w:cs="仿宋"/>
          <w:color w:val="000000" w:themeColor="text1"/>
          <w:spacing w:val="-2"/>
          <w:sz w:val="28"/>
          <w:szCs w:val="28"/>
          <w:lang w:eastAsia="zh-CN"/>
          <w14:textFill>
            <w14:solidFill>
              <w14:schemeClr w14:val="tx1"/>
            </w14:solidFill>
          </w14:textFill>
        </w:rPr>
        <w:t>一次团体赛中</w:t>
      </w:r>
      <w:r>
        <w:rPr>
          <w:rFonts w:hint="eastAsia" w:ascii="仿宋" w:hAnsi="仿宋" w:eastAsia="仿宋" w:cs="仿宋"/>
          <w:spacing w:val="-2"/>
          <w:sz w:val="28"/>
          <w:szCs w:val="28"/>
          <w:lang w:eastAsia="zh-CN"/>
        </w:rPr>
        <w:t>运动员不得重复参赛。</w:t>
      </w:r>
    </w:p>
    <w:p w14:paraId="5F43B9A9">
      <w:pPr>
        <w:spacing w:after="0" w:line="540" w:lineRule="exact"/>
        <w:ind w:firstLine="552" w:firstLineChars="200"/>
        <w:rPr>
          <w:rFonts w:ascii="仿宋" w:hAnsi="仿宋" w:eastAsia="仿宋" w:cs="仿宋"/>
          <w:spacing w:val="-2"/>
          <w:sz w:val="28"/>
          <w:szCs w:val="28"/>
          <w:lang w:eastAsia="zh-CN"/>
        </w:rPr>
      </w:pPr>
      <w:r>
        <w:rPr>
          <w:rFonts w:hint="eastAsia" w:ascii="仿宋" w:hAnsi="仿宋" w:eastAsia="仿宋" w:cs="仿宋"/>
          <w:spacing w:val="-2"/>
          <w:sz w:val="28"/>
          <w:szCs w:val="28"/>
          <w:lang w:eastAsia="zh-CN"/>
        </w:rPr>
        <w:t>（4）各组别各项目</w:t>
      </w:r>
      <w:r>
        <w:rPr>
          <w:rFonts w:hint="eastAsia" w:ascii="仿宋" w:hAnsi="仿宋" w:eastAsia="仿宋" w:cs="仿宋"/>
          <w:sz w:val="28"/>
          <w:szCs w:val="28"/>
          <w:lang w:eastAsia="zh-CN"/>
        </w:rPr>
        <w:t>参赛人（队）数少于2个参赛单位3人（对/队），均不安排比赛</w:t>
      </w:r>
      <w:r>
        <w:rPr>
          <w:rFonts w:hint="eastAsia" w:ascii="仿宋" w:hAnsi="仿宋" w:eastAsia="仿宋" w:cs="仿宋"/>
          <w:spacing w:val="-2"/>
          <w:sz w:val="28"/>
          <w:szCs w:val="28"/>
          <w:lang w:eastAsia="zh-CN"/>
        </w:rPr>
        <w:t>。</w:t>
      </w:r>
    </w:p>
    <w:p w14:paraId="5D9A2764">
      <w:pPr>
        <w:spacing w:after="0" w:line="540" w:lineRule="exact"/>
        <w:ind w:firstLine="552" w:firstLineChars="200"/>
        <w:rPr>
          <w:rFonts w:ascii="仿宋" w:hAnsi="仿宋" w:eastAsia="仿宋" w:cs="仿宋"/>
          <w:spacing w:val="-2"/>
          <w:sz w:val="28"/>
          <w:szCs w:val="28"/>
          <w:lang w:eastAsia="zh-CN"/>
        </w:rPr>
      </w:pPr>
      <w:r>
        <w:rPr>
          <w:rFonts w:hint="eastAsia" w:ascii="仿宋" w:hAnsi="仿宋" w:eastAsia="仿宋" w:cs="仿宋"/>
          <w:spacing w:val="-2"/>
          <w:sz w:val="28"/>
          <w:szCs w:val="28"/>
          <w:lang w:eastAsia="zh-CN"/>
        </w:rPr>
        <w:t>（5）采用人工抽签方式进行，抽签及领队会时间、地点另定。</w:t>
      </w:r>
    </w:p>
    <w:p w14:paraId="7DE61F0F">
      <w:pPr>
        <w:spacing w:after="0" w:line="540" w:lineRule="exact"/>
        <w:ind w:firstLine="552" w:firstLineChars="200"/>
        <w:rPr>
          <w:rFonts w:ascii="仿宋" w:hAnsi="仿宋" w:eastAsia="仿宋" w:cs="仿宋"/>
          <w:spacing w:val="-2"/>
          <w:sz w:val="28"/>
          <w:szCs w:val="28"/>
          <w:lang w:eastAsia="zh-CN"/>
        </w:rPr>
      </w:pPr>
      <w:r>
        <w:rPr>
          <w:rFonts w:hint="eastAsia" w:ascii="仿宋" w:hAnsi="仿宋" w:eastAsia="仿宋" w:cs="仿宋"/>
          <w:spacing w:val="-2"/>
          <w:sz w:val="28"/>
          <w:szCs w:val="28"/>
          <w:lang w:eastAsia="zh-CN"/>
        </w:rPr>
        <w:t>（6）比赛用球待定。</w:t>
      </w:r>
    </w:p>
    <w:p w14:paraId="141C4117">
      <w:pPr>
        <w:pStyle w:val="3"/>
        <w:spacing w:after="0" w:line="540" w:lineRule="exact"/>
        <w:ind w:firstLine="542" w:firstLineChars="200"/>
        <w:rPr>
          <w:b/>
          <w:bCs/>
          <w:spacing w:val="-2"/>
          <w:lang w:eastAsia="zh-CN"/>
        </w:rPr>
      </w:pPr>
      <w:r>
        <w:rPr>
          <w:rFonts w:hint="eastAsia"/>
          <w:b/>
          <w:bCs/>
          <w:spacing w:val="-5"/>
          <w:lang w:eastAsia="zh-CN"/>
        </w:rPr>
        <w:t>十一、</w:t>
      </w:r>
      <w:r>
        <w:rPr>
          <w:rFonts w:hint="eastAsia"/>
          <w:b/>
          <w:bCs/>
          <w:spacing w:val="-2"/>
          <w:lang w:eastAsia="zh-CN"/>
        </w:rPr>
        <w:t>录取名次、计牌计分和奖励办法</w:t>
      </w:r>
    </w:p>
    <w:p w14:paraId="1AF9BA38">
      <w:pPr>
        <w:spacing w:after="0" w:line="540" w:lineRule="exact"/>
        <w:ind w:firstLine="552" w:firstLineChars="200"/>
        <w:rPr>
          <w:rFonts w:ascii="仿宋" w:hAnsi="仿宋" w:eastAsia="仿宋" w:cs="仿宋"/>
          <w:spacing w:val="-2"/>
          <w:sz w:val="28"/>
          <w:szCs w:val="28"/>
          <w:lang w:eastAsia="zh-CN"/>
        </w:rPr>
      </w:pPr>
      <w:r>
        <w:rPr>
          <w:rFonts w:hint="eastAsia" w:ascii="仿宋" w:hAnsi="仿宋" w:eastAsia="仿宋" w:cs="仿宋"/>
          <w:spacing w:val="-2"/>
          <w:sz w:val="28"/>
          <w:szCs w:val="28"/>
          <w:lang w:eastAsia="zh-CN"/>
        </w:rPr>
        <w:t>（一）各组别各项目录取前八名，不足8人（对/队）参赛的，则按实际参赛人（队）数录取名次。</w:t>
      </w:r>
    </w:p>
    <w:p w14:paraId="7969B44A">
      <w:pPr>
        <w:spacing w:after="0" w:line="540" w:lineRule="exact"/>
        <w:ind w:firstLine="552" w:firstLineChars="200"/>
        <w:rPr>
          <w:rFonts w:ascii="仿宋" w:hAnsi="仿宋" w:eastAsia="仿宋" w:cs="仿宋"/>
          <w:spacing w:val="-2"/>
          <w:sz w:val="28"/>
          <w:szCs w:val="28"/>
          <w:lang w:eastAsia="zh-CN"/>
        </w:rPr>
      </w:pPr>
      <w:r>
        <w:rPr>
          <w:rFonts w:hint="eastAsia" w:ascii="仿宋" w:hAnsi="仿宋" w:eastAsia="仿宋" w:cs="仿宋"/>
          <w:spacing w:val="-2"/>
          <w:sz w:val="28"/>
          <w:szCs w:val="28"/>
          <w:lang w:eastAsia="zh-CN"/>
        </w:rPr>
        <w:t>（二）前八名依次按11、9、8、7、6、5、4、3计分；前三名依次按1金、1银、1铜计牌，并计入各代表团团体奖牌和团体总分。</w:t>
      </w:r>
    </w:p>
    <w:p w14:paraId="673664E7">
      <w:pPr>
        <w:spacing w:after="0" w:line="540" w:lineRule="exact"/>
        <w:ind w:firstLine="552" w:firstLineChars="200"/>
        <w:rPr>
          <w:rFonts w:ascii="仿宋" w:hAnsi="仿宋" w:eastAsia="仿宋" w:cs="仿宋"/>
          <w:spacing w:val="-2"/>
          <w:sz w:val="28"/>
          <w:szCs w:val="28"/>
          <w:lang w:eastAsia="zh-CN"/>
        </w:rPr>
      </w:pPr>
      <w:r>
        <w:rPr>
          <w:rFonts w:hint="eastAsia" w:ascii="仿宋" w:hAnsi="仿宋" w:eastAsia="仿宋" w:cs="仿宋"/>
          <w:spacing w:val="-2"/>
          <w:sz w:val="28"/>
          <w:szCs w:val="28"/>
          <w:lang w:eastAsia="zh-CN"/>
        </w:rPr>
        <w:t>（三）开展“体育道德风尚奖”评选活动，按照本届运动会竞赛规程总则的有关规定执行。</w:t>
      </w:r>
    </w:p>
    <w:p w14:paraId="2CC9F305">
      <w:pPr>
        <w:pStyle w:val="3"/>
        <w:spacing w:after="0" w:line="540" w:lineRule="exact"/>
        <w:ind w:firstLine="542" w:firstLineChars="200"/>
        <w:rPr>
          <w:b/>
          <w:bCs/>
          <w:spacing w:val="-5"/>
          <w:lang w:eastAsia="zh-CN"/>
        </w:rPr>
      </w:pPr>
      <w:r>
        <w:rPr>
          <w:rFonts w:hint="eastAsia"/>
          <w:b/>
          <w:bCs/>
          <w:spacing w:val="-5"/>
          <w:lang w:eastAsia="zh-CN"/>
        </w:rPr>
        <w:t>十二、申诉和纪律</w:t>
      </w:r>
    </w:p>
    <w:p w14:paraId="707106BA">
      <w:pPr>
        <w:pStyle w:val="3"/>
        <w:spacing w:after="0" w:line="540" w:lineRule="exact"/>
        <w:ind w:firstLine="542" w:firstLineChars="200"/>
        <w:rPr>
          <w:b/>
          <w:bCs/>
          <w:color w:val="auto"/>
          <w:spacing w:val="-5"/>
          <w:lang w:eastAsia="zh-CN"/>
        </w:rPr>
      </w:pPr>
      <w:r>
        <w:rPr>
          <w:rFonts w:hint="eastAsia"/>
          <w:b/>
          <w:bCs/>
          <w:color w:val="auto"/>
          <w:spacing w:val="-5"/>
          <w:lang w:eastAsia="zh-CN"/>
        </w:rPr>
        <w:t>（一）申诉</w:t>
      </w:r>
    </w:p>
    <w:p w14:paraId="2A6F1861">
      <w:pPr>
        <w:spacing w:after="0"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按照《上海市第十八届运动会羽毛球项目决赛阶段参赛运动队（员）申诉办法》执行。</w:t>
      </w:r>
    </w:p>
    <w:p w14:paraId="3A599912">
      <w:pPr>
        <w:pStyle w:val="3"/>
        <w:spacing w:after="0" w:line="540" w:lineRule="exact"/>
        <w:ind w:firstLine="542" w:firstLineChars="200"/>
        <w:rPr>
          <w:b/>
          <w:bCs/>
          <w:spacing w:val="-5"/>
          <w:lang w:eastAsia="zh-CN"/>
        </w:rPr>
      </w:pPr>
      <w:r>
        <w:rPr>
          <w:rFonts w:hint="eastAsia"/>
          <w:b/>
          <w:bCs/>
          <w:spacing w:val="-5"/>
          <w:lang w:eastAsia="zh-CN"/>
        </w:rPr>
        <w:t>（二）纪律</w:t>
      </w:r>
    </w:p>
    <w:p w14:paraId="5A7CDF61">
      <w:pPr>
        <w:spacing w:after="0" w:line="540" w:lineRule="exact"/>
        <w:ind w:firstLine="560" w:firstLineChars="200"/>
        <w:rPr>
          <w:rFonts w:ascii="仿宋" w:hAnsi="仿宋" w:eastAsia="仿宋" w:cs="仿宋"/>
          <w:color w:val="FF0000"/>
          <w:spacing w:val="-2"/>
          <w:sz w:val="28"/>
          <w:szCs w:val="28"/>
          <w:lang w:eastAsia="zh-CN"/>
        </w:rPr>
      </w:pPr>
      <w:r>
        <w:rPr>
          <w:rFonts w:hint="eastAsia" w:ascii="仿宋" w:hAnsi="仿宋" w:eastAsia="仿宋" w:cs="仿宋"/>
          <w:color w:val="000000" w:themeColor="text1"/>
          <w:sz w:val="28"/>
          <w:szCs w:val="28"/>
          <w:lang w:eastAsia="zh-CN"/>
          <w14:textFill>
            <w14:solidFill>
              <w14:schemeClr w14:val="tx1"/>
            </w14:solidFill>
          </w14:textFill>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039280E8">
      <w:pPr>
        <w:pStyle w:val="3"/>
        <w:spacing w:after="0" w:line="540" w:lineRule="exact"/>
        <w:ind w:firstLine="542" w:firstLineChars="200"/>
        <w:rPr>
          <w:b/>
          <w:bCs/>
          <w:spacing w:val="-5"/>
          <w:lang w:eastAsia="zh-CN"/>
        </w:rPr>
      </w:pPr>
      <w:r>
        <w:rPr>
          <w:rFonts w:hint="eastAsia"/>
          <w:b/>
          <w:bCs/>
          <w:spacing w:val="-5"/>
          <w:lang w:eastAsia="zh-CN"/>
        </w:rPr>
        <w:t>十三、裁判员和仲裁委员会</w:t>
      </w:r>
    </w:p>
    <w:p w14:paraId="2667F0A4">
      <w:pPr>
        <w:spacing w:after="0" w:line="540" w:lineRule="exact"/>
        <w:ind w:firstLine="552" w:firstLineChars="200"/>
        <w:rPr>
          <w:rFonts w:ascii="仿宋" w:hAnsi="仿宋" w:eastAsia="仿宋" w:cs="仿宋"/>
          <w:spacing w:val="-2"/>
          <w:sz w:val="28"/>
          <w:szCs w:val="28"/>
          <w:lang w:eastAsia="zh-CN"/>
        </w:rPr>
      </w:pPr>
      <w:r>
        <w:rPr>
          <w:rFonts w:hint="eastAsia" w:ascii="仿宋" w:hAnsi="仿宋" w:eastAsia="仿宋" w:cs="仿宋"/>
          <w:spacing w:val="-2"/>
          <w:sz w:val="28"/>
          <w:szCs w:val="28"/>
          <w:lang w:eastAsia="zh-CN"/>
        </w:rPr>
        <w:t>按照本届运动会竞赛规程总则的有关规定执行。</w:t>
      </w:r>
    </w:p>
    <w:p w14:paraId="7C878B6E">
      <w:pPr>
        <w:pStyle w:val="3"/>
        <w:spacing w:after="0" w:line="540" w:lineRule="exact"/>
        <w:ind w:firstLine="542" w:firstLineChars="200"/>
        <w:rPr>
          <w:b/>
          <w:bCs/>
          <w:spacing w:val="-5"/>
          <w:lang w:eastAsia="zh-CN"/>
        </w:rPr>
      </w:pPr>
      <w:r>
        <w:rPr>
          <w:rFonts w:hint="eastAsia"/>
          <w:b/>
          <w:bCs/>
          <w:spacing w:val="-5"/>
          <w:lang w:eastAsia="zh-CN"/>
        </w:rPr>
        <w:t>十四、运动员技术等级授予</w:t>
      </w:r>
    </w:p>
    <w:p w14:paraId="76FD0294">
      <w:pPr>
        <w:spacing w:after="0" w:line="540" w:lineRule="exact"/>
        <w:ind w:firstLine="552" w:firstLineChars="200"/>
        <w:rPr>
          <w:rFonts w:hint="eastAsia" w:ascii="仿宋" w:hAnsi="仿宋" w:eastAsia="仿宋" w:cs="仿宋"/>
          <w:spacing w:val="-2"/>
          <w:sz w:val="28"/>
          <w:szCs w:val="28"/>
          <w:lang w:eastAsia="zh-CN"/>
        </w:rPr>
      </w:pPr>
      <w:r>
        <w:rPr>
          <w:rFonts w:hint="eastAsia" w:ascii="仿宋" w:hAnsi="仿宋" w:eastAsia="仿宋" w:cs="仿宋"/>
          <w:spacing w:val="-2"/>
          <w:sz w:val="28"/>
          <w:szCs w:val="28"/>
          <w:lang w:eastAsia="zh-CN"/>
        </w:rPr>
        <w:t>本次比赛预选赛和决赛均已纳入2026年向国家体育总局备案的省级单项锦标赛和省级运动会，为年度可授予运动员技术等级比赛，A组为可授予运动员技术等级的组别，具体标准按国家体育总局最新发布的《运动员技术等级标准》（2025版）执行。</w:t>
      </w:r>
    </w:p>
    <w:p w14:paraId="52629CD2">
      <w:pPr>
        <w:pStyle w:val="3"/>
        <w:spacing w:after="0" w:line="540" w:lineRule="exact"/>
        <w:ind w:firstLine="554" w:firstLineChars="200"/>
        <w:rPr>
          <w:b/>
          <w:bCs/>
          <w:spacing w:val="-5"/>
          <w:lang w:eastAsia="zh-CN"/>
        </w:rPr>
      </w:pPr>
      <w:r>
        <w:rPr>
          <w:rFonts w:hint="eastAsia" w:ascii="仿宋" w:hAnsi="仿宋" w:eastAsia="仿宋" w:cs="仿宋"/>
          <w:b/>
          <w:bCs/>
          <w:spacing w:val="-2"/>
          <w:sz w:val="28"/>
          <w:szCs w:val="28"/>
          <w:lang w:val="en-US" w:eastAsia="zh-CN"/>
        </w:rPr>
        <w:t>十五</w:t>
      </w:r>
      <w:r>
        <w:rPr>
          <w:rFonts w:hint="eastAsia"/>
          <w:b/>
          <w:bCs/>
          <w:spacing w:val="-5"/>
          <w:lang w:eastAsia="zh-CN"/>
        </w:rPr>
        <w:t>、其他</w:t>
      </w:r>
    </w:p>
    <w:p w14:paraId="6358DF46">
      <w:pPr>
        <w:spacing w:after="0" w:line="540" w:lineRule="exact"/>
        <w:ind w:firstLine="552" w:firstLineChars="200"/>
        <w:rPr>
          <w:rFonts w:hint="eastAsia" w:ascii="仿宋" w:hAnsi="仿宋" w:eastAsia="仿宋" w:cs="仿宋"/>
          <w:spacing w:val="-2"/>
          <w:sz w:val="28"/>
          <w:szCs w:val="28"/>
          <w:lang w:eastAsia="zh-CN"/>
        </w:rPr>
      </w:pPr>
      <w:r>
        <w:rPr>
          <w:rFonts w:hint="eastAsia" w:ascii="仿宋" w:hAnsi="仿宋" w:eastAsia="仿宋" w:cs="仿宋"/>
          <w:spacing w:val="-2"/>
          <w:sz w:val="28"/>
          <w:szCs w:val="28"/>
          <w:lang w:eastAsia="zh-CN"/>
        </w:rPr>
        <w:t>（</w:t>
      </w:r>
      <w:r>
        <w:rPr>
          <w:rFonts w:hint="eastAsia" w:ascii="仿宋" w:hAnsi="仿宋" w:eastAsia="仿宋" w:cs="仿宋"/>
          <w:spacing w:val="-2"/>
          <w:sz w:val="28"/>
          <w:szCs w:val="28"/>
          <w:lang w:val="en-US" w:eastAsia="zh-CN"/>
        </w:rPr>
        <w:t>一</w:t>
      </w:r>
      <w:r>
        <w:rPr>
          <w:rFonts w:hint="eastAsia" w:ascii="仿宋" w:hAnsi="仿宋" w:eastAsia="仿宋" w:cs="仿宋"/>
          <w:spacing w:val="-2"/>
          <w:sz w:val="28"/>
          <w:szCs w:val="28"/>
          <w:lang w:eastAsia="zh-CN"/>
        </w:rPr>
        <w:t>）如本规程内容与本届运动会竞赛规程总则或上海市体育局相关规定发生冲突，则以本届运动会总则或上海市体育局规定为准。</w:t>
      </w:r>
    </w:p>
    <w:p w14:paraId="564B8596">
      <w:pPr>
        <w:spacing w:after="0" w:line="540" w:lineRule="exact"/>
        <w:ind w:firstLine="552" w:firstLineChars="200"/>
        <w:rPr>
          <w:rFonts w:hint="eastAsia" w:ascii="仿宋" w:hAnsi="仿宋" w:eastAsia="仿宋" w:cs="仿宋"/>
          <w:spacing w:val="-2"/>
          <w:sz w:val="28"/>
          <w:szCs w:val="28"/>
          <w:lang w:eastAsia="zh-CN"/>
        </w:rPr>
      </w:pPr>
      <w:r>
        <w:rPr>
          <w:rFonts w:hint="eastAsia" w:ascii="仿宋" w:hAnsi="仿宋" w:eastAsia="仿宋" w:cs="仿宋"/>
          <w:spacing w:val="-2"/>
          <w:sz w:val="28"/>
          <w:szCs w:val="28"/>
          <w:lang w:eastAsia="zh-CN"/>
        </w:rPr>
        <w:t>（</w:t>
      </w:r>
      <w:r>
        <w:rPr>
          <w:rFonts w:hint="eastAsia" w:ascii="仿宋" w:hAnsi="仿宋" w:eastAsia="仿宋" w:cs="仿宋"/>
          <w:spacing w:val="-2"/>
          <w:sz w:val="28"/>
          <w:szCs w:val="28"/>
          <w:lang w:val="en-US" w:eastAsia="zh-CN"/>
        </w:rPr>
        <w:t>二</w:t>
      </w:r>
      <w:r>
        <w:rPr>
          <w:rFonts w:hint="eastAsia" w:ascii="仿宋" w:hAnsi="仿宋" w:eastAsia="仿宋" w:cs="仿宋"/>
          <w:spacing w:val="-2"/>
          <w:sz w:val="28"/>
          <w:szCs w:val="28"/>
          <w:lang w:eastAsia="zh-CN"/>
        </w:rPr>
        <w:t>）</w:t>
      </w:r>
      <w:r>
        <w:rPr>
          <w:rFonts w:hint="eastAsia" w:ascii="仿宋" w:hAnsi="仿宋" w:eastAsia="仿宋" w:cs="仿宋"/>
          <w:color w:val="auto"/>
          <w:sz w:val="28"/>
          <w:szCs w:val="28"/>
          <w:highlight w:val="none"/>
        </w:rPr>
        <w:t>参赛单位运动员、教练员应知晓体育竞赛的相关风险，确保自己身体状况符合参赛要求，自行承担非承办单位故意或重大过失导致的伤害。</w:t>
      </w:r>
    </w:p>
    <w:p w14:paraId="637A75D7">
      <w:pPr>
        <w:spacing w:after="0" w:line="540" w:lineRule="exact"/>
        <w:ind w:firstLine="552" w:firstLineChars="200"/>
        <w:rPr>
          <w:rFonts w:ascii="仿宋" w:hAnsi="仿宋" w:eastAsia="仿宋" w:cs="仿宋"/>
          <w:color w:val="auto"/>
          <w:sz w:val="28"/>
          <w:szCs w:val="28"/>
          <w:lang w:eastAsia="zh-CN"/>
        </w:rPr>
      </w:pPr>
      <w:r>
        <w:rPr>
          <w:rFonts w:hint="eastAsia" w:ascii="仿宋" w:hAnsi="仿宋" w:eastAsia="仿宋" w:cs="仿宋"/>
          <w:spacing w:val="-2"/>
          <w:sz w:val="28"/>
          <w:szCs w:val="28"/>
          <w:lang w:eastAsia="zh-CN"/>
        </w:rPr>
        <w:t>（三）未尽事宜，另行通知。</w:t>
      </w:r>
    </w:p>
    <w:sectPr>
      <w:footerReference r:id="rId4" w:type="default"/>
      <w:pgSz w:w="11906" w:h="16839"/>
      <w:pgMar w:top="1431" w:right="1389" w:bottom="1389" w:left="1400" w:header="0" w:footer="3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E2F7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1D276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41D276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7F74FD"/>
    <w:multiLevelType w:val="singleLevel"/>
    <w:tmpl w:val="4A7F74FD"/>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footnotePr>
    <w:footnote w:id="0"/>
    <w:footnote w:id="1"/>
  </w:foot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8A1"/>
    <w:rsid w:val="002578A1"/>
    <w:rsid w:val="00530908"/>
    <w:rsid w:val="0086359E"/>
    <w:rsid w:val="00E80B5E"/>
    <w:rsid w:val="00FA12E0"/>
    <w:rsid w:val="02637372"/>
    <w:rsid w:val="03542C35"/>
    <w:rsid w:val="053E4B7A"/>
    <w:rsid w:val="07F60FB5"/>
    <w:rsid w:val="09D7476B"/>
    <w:rsid w:val="0D4C612B"/>
    <w:rsid w:val="0F0769E8"/>
    <w:rsid w:val="11EA166F"/>
    <w:rsid w:val="155C4590"/>
    <w:rsid w:val="156F4DBC"/>
    <w:rsid w:val="15C70A44"/>
    <w:rsid w:val="15CE40CA"/>
    <w:rsid w:val="199807AC"/>
    <w:rsid w:val="19F406BD"/>
    <w:rsid w:val="1C022402"/>
    <w:rsid w:val="26892C03"/>
    <w:rsid w:val="292E6F55"/>
    <w:rsid w:val="2B6D66EE"/>
    <w:rsid w:val="2CD353DC"/>
    <w:rsid w:val="2D74780B"/>
    <w:rsid w:val="2D907F34"/>
    <w:rsid w:val="2E1343CF"/>
    <w:rsid w:val="33E03B6E"/>
    <w:rsid w:val="35907231"/>
    <w:rsid w:val="377C2FE5"/>
    <w:rsid w:val="42DD6839"/>
    <w:rsid w:val="459A0A32"/>
    <w:rsid w:val="45D567BC"/>
    <w:rsid w:val="4CE23492"/>
    <w:rsid w:val="53C35638"/>
    <w:rsid w:val="54631655"/>
    <w:rsid w:val="586D2DD2"/>
    <w:rsid w:val="5879081C"/>
    <w:rsid w:val="5F3E38FA"/>
    <w:rsid w:val="62E844C4"/>
    <w:rsid w:val="64FD289C"/>
    <w:rsid w:val="66A80C8B"/>
    <w:rsid w:val="67C91886"/>
    <w:rsid w:val="693115D2"/>
    <w:rsid w:val="6D354331"/>
    <w:rsid w:val="7AF34939"/>
    <w:rsid w:val="7AFC369A"/>
    <w:rsid w:val="7D4100FD"/>
    <w:rsid w:val="7ECE30C8"/>
    <w:rsid w:val="7F246B9C"/>
    <w:rsid w:val="DDBF1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after="16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ody Text"/>
    <w:basedOn w:val="1"/>
    <w:semiHidden/>
    <w:qFormat/>
    <w:uiPriority w:val="0"/>
    <w:rPr>
      <w:rFonts w:ascii="仿宋" w:hAnsi="仿宋" w:eastAsia="仿宋" w:cs="仿宋"/>
      <w:sz w:val="28"/>
      <w:szCs w:val="28"/>
    </w:rPr>
  </w:style>
  <w:style w:type="paragraph" w:styleId="4">
    <w:name w:val="footer"/>
    <w:basedOn w:val="1"/>
    <w:qFormat/>
    <w:uiPriority w:val="0"/>
    <w:pPr>
      <w:tabs>
        <w:tab w:val="center" w:pos="4153"/>
        <w:tab w:val="right" w:pos="8306"/>
      </w:tabs>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6">
    <w:name w:val="footnote text"/>
    <w:basedOn w:val="1"/>
    <w:qFormat/>
    <w:uiPriority w:val="99"/>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styleId="11">
    <w:name w:val="footnote reference"/>
    <w:basedOn w:val="9"/>
    <w:qFormat/>
    <w:uiPriority w:val="99"/>
    <w:rPr>
      <w:vertAlign w:val="superscript"/>
    </w:rPr>
  </w:style>
  <w:style w:type="table" w:customStyle="1" w:styleId="12">
    <w:name w:val="Table Normal"/>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Times New Roman" w:hAnsi="Times New Roman" w:eastAsia="Times New Roman" w:cs="Times New Roman"/>
      <w:sz w:val="18"/>
      <w:szCs w:val="18"/>
    </w:rPr>
  </w:style>
  <w:style w:type="character" w:customStyle="1" w:styleId="14">
    <w:name w:val="font51"/>
    <w:basedOn w:val="9"/>
    <w:qFormat/>
    <w:uiPriority w:val="0"/>
    <w:rPr>
      <w:rFonts w:hint="eastAsia" w:ascii="宋体" w:hAnsi="宋体" w:eastAsia="宋体" w:cs="宋体"/>
      <w:b/>
      <w:bCs/>
      <w:color w:val="000000"/>
      <w:sz w:val="20"/>
      <w:szCs w:val="20"/>
      <w:u w:val="none"/>
    </w:rPr>
  </w:style>
  <w:style w:type="character" w:customStyle="1" w:styleId="15">
    <w:name w:val="font61"/>
    <w:basedOn w:val="9"/>
    <w:qFormat/>
    <w:uiPriority w:val="0"/>
    <w:rPr>
      <w:rFonts w:hint="default" w:ascii="Times New Roman" w:hAnsi="Times New Roman" w:cs="Times New Roman"/>
      <w:b/>
      <w:bCs/>
      <w:color w:val="000000"/>
      <w:sz w:val="20"/>
      <w:szCs w:val="20"/>
      <w:u w:val="none"/>
    </w:rPr>
  </w:style>
  <w:style w:type="character" w:customStyle="1" w:styleId="16">
    <w:name w:val="font31"/>
    <w:basedOn w:val="9"/>
    <w:qFormat/>
    <w:uiPriority w:val="0"/>
    <w:rPr>
      <w:rFonts w:hint="eastAsia" w:ascii="宋体" w:hAnsi="宋体" w:eastAsia="宋体" w:cs="宋体"/>
      <w:b/>
      <w:bCs/>
      <w:color w:val="000000"/>
      <w:sz w:val="18"/>
      <w:szCs w:val="18"/>
      <w:u w:val="none"/>
    </w:rPr>
  </w:style>
  <w:style w:type="character" w:customStyle="1" w:styleId="17">
    <w:name w:val="font41"/>
    <w:basedOn w:val="9"/>
    <w:qFormat/>
    <w:uiPriority w:val="0"/>
    <w:rPr>
      <w:rFonts w:hint="default" w:ascii="Times New Roman" w:hAnsi="Times New Roman" w:cs="Times New Roman"/>
      <w:b/>
      <w:bCs/>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5be252-848a-4bb9-a73b-70907d3d747b}">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1226</Words>
  <Characters>1368</Characters>
  <Lines>18</Lines>
  <Paragraphs>5</Paragraphs>
  <TotalTime>35</TotalTime>
  <ScaleCrop>false</ScaleCrop>
  <LinksUpToDate>false</LinksUpToDate>
  <CharactersWithSpaces>1370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2026-01-23T18:43:00Z</dcterms:created>
  <dc:creator>lenovo</dc:creator>
  <cp:lastModifiedBy>Xiangyou</cp:lastModifiedBy>
  <cp:lastPrinted>2026-04-07T08:30:00Z</cp:lastPrinted>
  <dcterms:modified xsi:type="dcterms:W3CDTF">2026-05-12T03:08:38Z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2025-07-15T16:58:00Z</vt:filetime>
  </property>
  <property fmtid="{D5CDD505-2E9C-101B-9397-08002B2CF9AE}" pid="4" name="KSOProductBuildVer">
    <vt:lpwstr>2052-12.1.0.25865</vt:lpwstr>
  </property>
  <property fmtid="{D5CDD505-2E9C-101B-9397-08002B2CF9AE}" pid="5" name="ICV">
    <vt:lpwstr>974AE18A21454B08BC403DFC8E1BD129_13</vt:lpwstr>
  </property>
  <property fmtid="{D5CDD505-2E9C-101B-9397-08002B2CF9AE}" pid="6" name="KSOTemplateDocerSaveRecord">
    <vt:lpwstr>eyJoZGlkIjoiNjA2NmNjZDM3NzUzZGJhY2I3OTc1NzBkNDI5NDdhNTkiLCJ1c2VySWQiOiIxNDQ2MzUxODYzIn0=</vt:lpwstr>
  </property>
</Properties>
</file>