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D07C00">
      <w:pPr>
        <w:spacing w:line="540" w:lineRule="exact"/>
        <w:jc w:val="center"/>
        <w:rPr>
          <w:rFonts w:hint="eastAsia" w:ascii="宋体" w:hAnsi="宋体" w:eastAsia="宋体" w:cs="宋体"/>
          <w:b/>
          <w:bCs/>
          <w:sz w:val="36"/>
          <w:szCs w:val="36"/>
          <w:highlight w:val="none"/>
        </w:rPr>
      </w:pPr>
      <w:r>
        <w:rPr>
          <w:rFonts w:hint="eastAsia" w:ascii="宋体" w:hAnsi="宋体" w:eastAsia="宋体" w:cs="宋体"/>
          <w:b/>
          <w:bCs/>
          <w:sz w:val="36"/>
          <w:szCs w:val="36"/>
          <w:highlight w:val="none"/>
        </w:rPr>
        <w:t>上海市第十八届运动会篮球比赛（青少年组）</w:t>
      </w:r>
    </w:p>
    <w:p w14:paraId="4031B596">
      <w:pPr>
        <w:spacing w:line="540" w:lineRule="exact"/>
        <w:jc w:val="center"/>
        <w:rPr>
          <w:rFonts w:hint="eastAsia" w:ascii="宋体" w:hAnsi="宋体" w:eastAsia="宋体" w:cs="宋体"/>
          <w:b/>
          <w:bCs/>
          <w:sz w:val="36"/>
          <w:szCs w:val="36"/>
          <w:highlight w:val="none"/>
        </w:rPr>
      </w:pPr>
      <w:r>
        <w:rPr>
          <w:rFonts w:hint="eastAsia" w:ascii="宋体" w:hAnsi="宋体" w:eastAsia="宋体" w:cs="宋体"/>
          <w:b/>
          <w:bCs/>
          <w:sz w:val="36"/>
          <w:szCs w:val="36"/>
          <w:highlight w:val="none"/>
        </w:rPr>
        <w:t>竞赛规程</w:t>
      </w:r>
    </w:p>
    <w:p w14:paraId="4E100E10">
      <w:pPr>
        <w:spacing w:line="540" w:lineRule="exact"/>
        <w:rPr>
          <w:b/>
          <w:bCs/>
          <w:sz w:val="36"/>
          <w:szCs w:val="36"/>
          <w:highlight w:val="none"/>
        </w:rPr>
      </w:pPr>
    </w:p>
    <w:p w14:paraId="58F85C18">
      <w:pPr>
        <w:numPr>
          <w:ilvl w:val="0"/>
          <w:numId w:val="1"/>
        </w:numPr>
        <w:spacing w:line="540" w:lineRule="exact"/>
        <w:ind w:firstLine="562" w:firstLineChars="200"/>
        <w:rPr>
          <w:rFonts w:hint="eastAsia" w:ascii="仿宋" w:hAnsi="仿宋" w:eastAsia="仿宋" w:cs="仿宋"/>
          <w:sz w:val="28"/>
          <w:szCs w:val="28"/>
          <w:highlight w:val="none"/>
        </w:rPr>
      </w:pPr>
      <w:r>
        <w:rPr>
          <w:rFonts w:hint="eastAsia" w:ascii="仿宋" w:hAnsi="仿宋" w:eastAsia="仿宋" w:cs="仿宋"/>
          <w:b/>
          <w:bCs/>
          <w:sz w:val="28"/>
          <w:szCs w:val="28"/>
          <w:highlight w:val="none"/>
        </w:rPr>
        <w:t>主办单位：</w:t>
      </w:r>
      <w:r>
        <w:rPr>
          <w:rFonts w:hint="eastAsia" w:ascii="仿宋" w:hAnsi="仿宋" w:eastAsia="仿宋" w:cs="仿宋"/>
          <w:sz w:val="28"/>
          <w:szCs w:val="28"/>
          <w:highlight w:val="none"/>
        </w:rPr>
        <w:t>上海市体育局、上海市教育委员会</w:t>
      </w:r>
    </w:p>
    <w:p w14:paraId="0605FB58">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562" w:firstLineChars="200"/>
        <w:jc w:val="both"/>
        <w:textAlignment w:val="auto"/>
        <w:rPr>
          <w:rFonts w:hint="default" w:ascii="仿宋" w:hAnsi="仿宋" w:eastAsia="仿宋" w:cs="仿宋"/>
          <w:b w:val="0"/>
          <w:bCs w:val="0"/>
          <w:sz w:val="28"/>
          <w:szCs w:val="28"/>
          <w:lang w:val="en-US" w:eastAsia="zh-CN"/>
        </w:rPr>
      </w:pPr>
      <w:r>
        <w:rPr>
          <w:rFonts w:hint="eastAsia" w:ascii="仿宋" w:hAnsi="仿宋" w:eastAsia="仿宋" w:cs="仿宋"/>
          <w:b/>
          <w:bCs/>
          <w:sz w:val="28"/>
          <w:szCs w:val="28"/>
          <w:highlight w:val="none"/>
        </w:rPr>
        <w:t>承办单位：</w:t>
      </w:r>
      <w:r>
        <w:rPr>
          <w:rFonts w:hint="eastAsia" w:ascii="仿宋" w:hAnsi="仿宋" w:eastAsia="仿宋" w:cs="仿宋"/>
          <w:b w:val="0"/>
          <w:bCs w:val="0"/>
          <w:sz w:val="28"/>
          <w:szCs w:val="28"/>
          <w:lang w:val="en-US" w:eastAsia="zh-CN"/>
        </w:rPr>
        <w:t>上海市徐汇区体育局、上海市黄浦区体育局</w:t>
      </w:r>
    </w:p>
    <w:p w14:paraId="2254B7F1">
      <w:pPr>
        <w:numPr>
          <w:ilvl w:val="0"/>
          <w:numId w:val="0"/>
        </w:numPr>
        <w:spacing w:line="540" w:lineRule="exact"/>
        <w:ind w:firstLine="2520" w:firstLineChars="900"/>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上海市静安区体育局、上海市宝山区体育局</w:t>
      </w:r>
    </w:p>
    <w:p w14:paraId="4AF1EE38">
      <w:pPr>
        <w:numPr>
          <w:ilvl w:val="0"/>
          <w:numId w:val="0"/>
        </w:numPr>
        <w:spacing w:line="540" w:lineRule="exact"/>
        <w:ind w:firstLine="2520" w:firstLineChars="900"/>
        <w:rPr>
          <w:rFonts w:hint="eastAsia" w:ascii="仿宋" w:hAnsi="仿宋" w:eastAsia="仿宋" w:cs="仿宋"/>
          <w:sz w:val="28"/>
          <w:szCs w:val="28"/>
          <w:highlight w:val="none"/>
        </w:rPr>
      </w:pPr>
      <w:r>
        <w:rPr>
          <w:rFonts w:hint="eastAsia" w:ascii="仿宋" w:hAnsi="仿宋" w:eastAsia="仿宋" w:cs="仿宋"/>
          <w:sz w:val="28"/>
          <w:szCs w:val="28"/>
          <w:highlight w:val="none"/>
        </w:rPr>
        <w:t>上海市竞技体育训练管理中心篮球运动中心</w:t>
      </w:r>
    </w:p>
    <w:p w14:paraId="22199A33">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2520" w:firstLineChars="900"/>
        <w:jc w:val="both"/>
        <w:textAlignment w:val="auto"/>
        <w:rPr>
          <w:rFonts w:hint="default" w:ascii="仿宋" w:hAnsi="仿宋" w:eastAsia="仿宋" w:cs="仿宋"/>
          <w:b w:val="0"/>
          <w:bCs w:val="0"/>
          <w:sz w:val="28"/>
          <w:szCs w:val="28"/>
          <w:lang w:val="en-US" w:eastAsia="zh-CN"/>
        </w:rPr>
      </w:pPr>
      <w:r>
        <w:rPr>
          <w:rFonts w:hint="eastAsia" w:ascii="仿宋" w:hAnsi="仿宋" w:eastAsia="仿宋" w:cs="仿宋"/>
          <w:sz w:val="28"/>
          <w:szCs w:val="28"/>
          <w:highlight w:val="none"/>
        </w:rPr>
        <w:t>上海市篮球协会</w:t>
      </w:r>
      <w:r>
        <w:rPr>
          <w:rFonts w:hint="eastAsia" w:ascii="仿宋" w:hAnsi="仿宋" w:eastAsia="仿宋" w:cs="仿宋"/>
          <w:sz w:val="28"/>
          <w:szCs w:val="28"/>
          <w:highlight w:val="none"/>
          <w:lang w:eastAsia="zh-CN"/>
        </w:rPr>
        <w:t>、</w:t>
      </w:r>
      <w:r>
        <w:rPr>
          <w:rFonts w:hint="default" w:ascii="仿宋" w:hAnsi="仿宋" w:eastAsia="仿宋" w:cs="仿宋"/>
          <w:b w:val="0"/>
          <w:bCs w:val="0"/>
          <w:sz w:val="28"/>
          <w:szCs w:val="28"/>
          <w:lang w:val="en-US" w:eastAsia="zh-CN"/>
        </w:rPr>
        <w:t>上海市宝山区篮球协会</w:t>
      </w:r>
    </w:p>
    <w:p w14:paraId="40439E8A">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2520" w:firstLineChars="900"/>
        <w:jc w:val="both"/>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上海市徐汇区青少年体育训练中心</w:t>
      </w:r>
    </w:p>
    <w:p w14:paraId="64A0D50E">
      <w:pPr>
        <w:spacing w:line="540" w:lineRule="exact"/>
        <w:ind w:firstLine="2520" w:firstLineChars="900"/>
        <w:rPr>
          <w:rFonts w:hint="default" w:ascii="仿宋" w:hAnsi="仿宋" w:eastAsia="仿宋" w:cs="仿宋"/>
          <w:b w:val="0"/>
          <w:bCs w:val="0"/>
          <w:sz w:val="28"/>
          <w:szCs w:val="28"/>
          <w:lang w:val="en-US" w:eastAsia="zh-CN"/>
        </w:rPr>
      </w:pPr>
      <w:r>
        <w:rPr>
          <w:rFonts w:hint="default" w:ascii="仿宋" w:hAnsi="仿宋" w:eastAsia="仿宋" w:cs="仿宋"/>
          <w:b w:val="0"/>
          <w:bCs w:val="0"/>
          <w:sz w:val="28"/>
          <w:szCs w:val="28"/>
          <w:lang w:val="en-US" w:eastAsia="zh-CN"/>
        </w:rPr>
        <w:t>上海铭氏体育休闲有限公司</w:t>
      </w:r>
    </w:p>
    <w:p w14:paraId="5BCDA829">
      <w:pPr>
        <w:spacing w:line="540" w:lineRule="exact"/>
        <w:ind w:firstLine="2520" w:firstLineChars="900"/>
        <w:rPr>
          <w:rFonts w:hint="eastAsia" w:ascii="仿宋" w:hAnsi="仿宋" w:eastAsia="仿宋" w:cs="仿宋"/>
          <w:sz w:val="28"/>
          <w:szCs w:val="28"/>
          <w:highlight w:val="none"/>
        </w:rPr>
      </w:pPr>
      <w:r>
        <w:rPr>
          <w:rFonts w:hint="default" w:ascii="仿宋" w:hAnsi="仿宋" w:eastAsia="仿宋" w:cs="仿宋"/>
          <w:b w:val="0"/>
          <w:bCs w:val="0"/>
          <w:sz w:val="28"/>
          <w:szCs w:val="28"/>
          <w:lang w:val="en-US" w:eastAsia="zh-CN"/>
        </w:rPr>
        <w:t>上海市静安青少年体育俱乐部</w:t>
      </w:r>
    </w:p>
    <w:p w14:paraId="50EF7FB7">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left="0" w:leftChars="0" w:firstLine="562" w:firstLineChars="200"/>
        <w:jc w:val="both"/>
        <w:textAlignment w:val="auto"/>
        <w:rPr>
          <w:rFonts w:hint="default" w:ascii="仿宋" w:hAnsi="仿宋" w:eastAsia="仿宋" w:cs="仿宋"/>
          <w:b w:val="0"/>
          <w:bCs w:val="0"/>
          <w:sz w:val="28"/>
          <w:szCs w:val="28"/>
          <w:lang w:val="en-US" w:eastAsia="zh-CN"/>
        </w:rPr>
      </w:pPr>
      <w:r>
        <w:rPr>
          <w:rFonts w:hint="eastAsia" w:ascii="仿宋" w:hAnsi="仿宋" w:eastAsia="仿宋" w:cs="仿宋"/>
          <w:b/>
          <w:bCs/>
          <w:sz w:val="28"/>
          <w:szCs w:val="28"/>
          <w:highlight w:val="none"/>
        </w:rPr>
        <w:t>协办单位：</w:t>
      </w:r>
      <w:r>
        <w:rPr>
          <w:rFonts w:hint="eastAsia" w:ascii="仿宋" w:hAnsi="仿宋" w:eastAsia="仿宋" w:cs="仿宋"/>
          <w:b w:val="0"/>
          <w:bCs w:val="0"/>
          <w:sz w:val="28"/>
          <w:szCs w:val="28"/>
          <w:lang w:val="en-US" w:eastAsia="zh-CN"/>
        </w:rPr>
        <w:t>待定</w:t>
      </w:r>
    </w:p>
    <w:p w14:paraId="17F0C6C6">
      <w:pPr>
        <w:spacing w:line="540" w:lineRule="exact"/>
        <w:ind w:firstLine="562" w:firstLineChars="200"/>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四、竞赛日期</w:t>
      </w: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2026年</w:t>
      </w:r>
      <w:r>
        <w:rPr>
          <w:rFonts w:hint="eastAsia" w:ascii="仿宋" w:hAnsi="仿宋" w:eastAsia="仿宋" w:cs="仿宋"/>
          <w:sz w:val="28"/>
          <w:szCs w:val="28"/>
          <w:highlight w:val="none"/>
        </w:rPr>
        <w:t>8-11月</w:t>
      </w:r>
    </w:p>
    <w:p w14:paraId="0B065E91">
      <w:pPr>
        <w:spacing w:line="540" w:lineRule="exact"/>
        <w:ind w:firstLine="562" w:firstLineChars="200"/>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五、竞赛地点：</w:t>
      </w:r>
      <w:r>
        <w:rPr>
          <w:rFonts w:hint="eastAsia" w:ascii="仿宋" w:hAnsi="仿宋" w:eastAsia="仿宋" w:cs="仿宋"/>
          <w:sz w:val="28"/>
          <w:szCs w:val="28"/>
          <w:highlight w:val="none"/>
        </w:rPr>
        <w:t>待定</w:t>
      </w:r>
    </w:p>
    <w:p w14:paraId="0E66A2D7">
      <w:pPr>
        <w:spacing w:line="540" w:lineRule="exact"/>
        <w:ind w:firstLine="562" w:firstLineChars="200"/>
        <w:rPr>
          <w:rFonts w:hint="eastAsia" w:ascii="仿宋" w:hAnsi="仿宋" w:eastAsia="仿宋" w:cs="仿宋"/>
          <w:sz w:val="28"/>
          <w:szCs w:val="28"/>
          <w:highlight w:val="none"/>
        </w:rPr>
      </w:pPr>
      <w:r>
        <w:rPr>
          <w:rFonts w:hint="eastAsia" w:ascii="仿宋" w:hAnsi="仿宋" w:eastAsia="仿宋" w:cs="仿宋"/>
          <w:b/>
          <w:bCs/>
          <w:sz w:val="28"/>
          <w:szCs w:val="28"/>
          <w:highlight w:val="none"/>
        </w:rPr>
        <w:t>六、参赛单位：</w:t>
      </w:r>
      <w:r>
        <w:rPr>
          <w:rFonts w:hint="eastAsia" w:ascii="仿宋" w:hAnsi="仿宋" w:eastAsia="仿宋" w:cs="仿宋"/>
          <w:sz w:val="28"/>
          <w:szCs w:val="28"/>
          <w:highlight w:val="none"/>
        </w:rPr>
        <w:t>本市各区</w:t>
      </w:r>
    </w:p>
    <w:p w14:paraId="1281D47F">
      <w:pPr>
        <w:spacing w:line="540" w:lineRule="exact"/>
        <w:ind w:firstLine="562" w:firstLineChars="200"/>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七、年龄组别和小项设置</w:t>
      </w:r>
    </w:p>
    <w:tbl>
      <w:tblPr>
        <w:tblStyle w:val="5"/>
        <w:tblW w:w="8066" w:type="dxa"/>
        <w:jc w:val="center"/>
        <w:tblLayout w:type="fixed"/>
        <w:tblCellMar>
          <w:top w:w="0" w:type="dxa"/>
          <w:left w:w="108" w:type="dxa"/>
          <w:bottom w:w="0" w:type="dxa"/>
          <w:right w:w="108" w:type="dxa"/>
        </w:tblCellMar>
      </w:tblPr>
      <w:tblGrid>
        <w:gridCol w:w="716"/>
        <w:gridCol w:w="2420"/>
        <w:gridCol w:w="1130"/>
        <w:gridCol w:w="1996"/>
        <w:gridCol w:w="1804"/>
      </w:tblGrid>
      <w:tr w14:paraId="345D4E7B">
        <w:tblPrEx>
          <w:tblCellMar>
            <w:top w:w="0" w:type="dxa"/>
            <w:left w:w="108" w:type="dxa"/>
            <w:bottom w:w="0" w:type="dxa"/>
            <w:right w:w="108" w:type="dxa"/>
          </w:tblCellMar>
        </w:tblPrEx>
        <w:trPr>
          <w:trHeight w:val="480" w:hRule="atLeast"/>
          <w:jc w:val="center"/>
        </w:trPr>
        <w:tc>
          <w:tcPr>
            <w:tcW w:w="716" w:type="dxa"/>
            <w:vMerge w:val="restart"/>
            <w:tcBorders>
              <w:top w:val="single" w:color="000000" w:sz="4" w:space="0"/>
              <w:left w:val="single" w:color="000000" w:sz="4" w:space="0"/>
              <w:bottom w:val="single" w:color="000000" w:sz="4" w:space="0"/>
              <w:right w:val="single" w:color="000000" w:sz="4" w:space="0"/>
            </w:tcBorders>
            <w:noWrap/>
            <w:vAlign w:val="center"/>
          </w:tcPr>
          <w:p w14:paraId="19C1BD11">
            <w:pPr>
              <w:widowControl/>
              <w:jc w:val="center"/>
              <w:textAlignment w:val="center"/>
              <w:rPr>
                <w:rFonts w:hint="eastAsia" w:ascii="仿宋" w:hAnsi="仿宋" w:eastAsia="仿宋" w:cs="仿宋"/>
                <w:b/>
                <w:bCs/>
                <w:color w:val="000000"/>
                <w:sz w:val="24"/>
                <w:highlight w:val="none"/>
              </w:rPr>
            </w:pPr>
            <w:r>
              <w:rPr>
                <w:rFonts w:hint="eastAsia" w:ascii="仿宋" w:hAnsi="仿宋" w:eastAsia="仿宋" w:cs="仿宋"/>
                <w:b/>
                <w:bCs/>
                <w:color w:val="000000"/>
                <w:kern w:val="0"/>
                <w:sz w:val="24"/>
                <w:highlight w:val="none"/>
                <w:lang w:bidi="ar"/>
              </w:rPr>
              <w:t>组别</w:t>
            </w:r>
          </w:p>
        </w:tc>
        <w:tc>
          <w:tcPr>
            <w:tcW w:w="2420" w:type="dxa"/>
            <w:vMerge w:val="restart"/>
            <w:tcBorders>
              <w:top w:val="single" w:color="000000" w:sz="4" w:space="0"/>
              <w:left w:val="single" w:color="000000" w:sz="4" w:space="0"/>
              <w:bottom w:val="single" w:color="000000" w:sz="4" w:space="0"/>
              <w:right w:val="single" w:color="000000" w:sz="4" w:space="0"/>
            </w:tcBorders>
            <w:noWrap/>
            <w:vAlign w:val="center"/>
          </w:tcPr>
          <w:p w14:paraId="387F001B">
            <w:pPr>
              <w:widowControl/>
              <w:jc w:val="center"/>
              <w:textAlignment w:val="center"/>
              <w:rPr>
                <w:rFonts w:hint="eastAsia" w:ascii="仿宋" w:hAnsi="仿宋" w:eastAsia="仿宋" w:cs="仿宋"/>
                <w:b/>
                <w:bCs/>
                <w:color w:val="000000"/>
                <w:sz w:val="24"/>
                <w:highlight w:val="none"/>
              </w:rPr>
            </w:pPr>
            <w:r>
              <w:rPr>
                <w:rFonts w:hint="eastAsia" w:ascii="仿宋" w:hAnsi="仿宋" w:eastAsia="仿宋" w:cs="仿宋"/>
                <w:b/>
                <w:bCs/>
                <w:color w:val="000000"/>
                <w:kern w:val="0"/>
                <w:sz w:val="24"/>
                <w:highlight w:val="none"/>
                <w:lang w:bidi="ar"/>
              </w:rPr>
              <w:t>年龄段</w:t>
            </w:r>
          </w:p>
        </w:tc>
        <w:tc>
          <w:tcPr>
            <w:tcW w:w="1130" w:type="dxa"/>
            <w:vMerge w:val="restart"/>
            <w:tcBorders>
              <w:top w:val="single" w:color="000000" w:sz="4" w:space="0"/>
              <w:left w:val="single" w:color="000000" w:sz="4" w:space="0"/>
              <w:bottom w:val="single" w:color="000000" w:sz="4" w:space="0"/>
              <w:right w:val="single" w:color="000000" w:sz="4" w:space="0"/>
            </w:tcBorders>
            <w:noWrap/>
            <w:vAlign w:val="center"/>
          </w:tcPr>
          <w:p w14:paraId="7B33D7DC">
            <w:pPr>
              <w:widowControl/>
              <w:jc w:val="center"/>
              <w:textAlignment w:val="center"/>
              <w:rPr>
                <w:rFonts w:hint="eastAsia" w:ascii="仿宋" w:hAnsi="仿宋" w:eastAsia="仿宋" w:cs="仿宋"/>
                <w:b/>
                <w:bCs/>
                <w:color w:val="000000"/>
                <w:sz w:val="24"/>
                <w:highlight w:val="none"/>
              </w:rPr>
            </w:pPr>
            <w:r>
              <w:rPr>
                <w:rFonts w:hint="eastAsia" w:ascii="仿宋" w:hAnsi="仿宋" w:eastAsia="仿宋" w:cs="仿宋"/>
                <w:b/>
                <w:bCs/>
                <w:color w:val="000000"/>
                <w:kern w:val="0"/>
                <w:sz w:val="24"/>
                <w:highlight w:val="none"/>
                <w:lang w:bidi="ar"/>
              </w:rPr>
              <w:t>设项数</w:t>
            </w:r>
          </w:p>
        </w:tc>
        <w:tc>
          <w:tcPr>
            <w:tcW w:w="3800" w:type="dxa"/>
            <w:gridSpan w:val="2"/>
            <w:tcBorders>
              <w:top w:val="single" w:color="000000" w:sz="4" w:space="0"/>
              <w:left w:val="single" w:color="000000" w:sz="4" w:space="0"/>
              <w:bottom w:val="single" w:color="000000" w:sz="4" w:space="0"/>
              <w:right w:val="single" w:color="000000" w:sz="4" w:space="0"/>
            </w:tcBorders>
            <w:noWrap/>
            <w:vAlign w:val="center"/>
          </w:tcPr>
          <w:p w14:paraId="0EECFAC7">
            <w:pPr>
              <w:widowControl/>
              <w:jc w:val="center"/>
              <w:textAlignment w:val="center"/>
              <w:rPr>
                <w:rFonts w:hint="eastAsia" w:ascii="仿宋" w:hAnsi="仿宋" w:eastAsia="仿宋" w:cs="仿宋"/>
                <w:b/>
                <w:bCs/>
                <w:color w:val="000000"/>
                <w:sz w:val="24"/>
                <w:highlight w:val="none"/>
              </w:rPr>
            </w:pPr>
            <w:r>
              <w:rPr>
                <w:rFonts w:hint="eastAsia" w:ascii="仿宋" w:hAnsi="仿宋" w:eastAsia="仿宋" w:cs="仿宋"/>
                <w:b/>
                <w:bCs/>
                <w:color w:val="000000"/>
                <w:kern w:val="0"/>
                <w:sz w:val="24"/>
                <w:highlight w:val="none"/>
                <w:lang w:bidi="ar"/>
              </w:rPr>
              <w:t>项目设置</w:t>
            </w:r>
          </w:p>
        </w:tc>
      </w:tr>
      <w:tr w14:paraId="1AD8E789">
        <w:tblPrEx>
          <w:tblCellMar>
            <w:top w:w="0" w:type="dxa"/>
            <w:left w:w="108" w:type="dxa"/>
            <w:bottom w:w="0" w:type="dxa"/>
            <w:right w:w="108" w:type="dxa"/>
          </w:tblCellMar>
        </w:tblPrEx>
        <w:trPr>
          <w:trHeight w:val="480" w:hRule="atLeast"/>
          <w:jc w:val="center"/>
        </w:trPr>
        <w:tc>
          <w:tcPr>
            <w:tcW w:w="716" w:type="dxa"/>
            <w:vMerge w:val="continue"/>
            <w:tcBorders>
              <w:top w:val="single" w:color="000000" w:sz="4" w:space="0"/>
              <w:left w:val="single" w:color="000000" w:sz="4" w:space="0"/>
              <w:bottom w:val="single" w:color="000000" w:sz="4" w:space="0"/>
              <w:right w:val="single" w:color="000000" w:sz="4" w:space="0"/>
            </w:tcBorders>
            <w:noWrap/>
            <w:vAlign w:val="center"/>
          </w:tcPr>
          <w:p w14:paraId="7A988245">
            <w:pPr>
              <w:jc w:val="center"/>
              <w:rPr>
                <w:rFonts w:hint="eastAsia" w:ascii="仿宋" w:hAnsi="仿宋" w:eastAsia="仿宋" w:cs="仿宋"/>
                <w:b/>
                <w:bCs/>
                <w:color w:val="000000"/>
                <w:sz w:val="24"/>
                <w:highlight w:val="none"/>
              </w:rPr>
            </w:pPr>
          </w:p>
        </w:tc>
        <w:tc>
          <w:tcPr>
            <w:tcW w:w="2420" w:type="dxa"/>
            <w:vMerge w:val="continue"/>
            <w:tcBorders>
              <w:top w:val="single" w:color="000000" w:sz="4" w:space="0"/>
              <w:left w:val="single" w:color="000000" w:sz="4" w:space="0"/>
              <w:bottom w:val="single" w:color="000000" w:sz="4" w:space="0"/>
              <w:right w:val="single" w:color="000000" w:sz="4" w:space="0"/>
            </w:tcBorders>
            <w:noWrap/>
            <w:vAlign w:val="center"/>
          </w:tcPr>
          <w:p w14:paraId="47CA9D1B">
            <w:pPr>
              <w:jc w:val="center"/>
              <w:rPr>
                <w:rFonts w:hint="eastAsia" w:ascii="仿宋" w:hAnsi="仿宋" w:eastAsia="仿宋" w:cs="仿宋"/>
                <w:b/>
                <w:bCs/>
                <w:color w:val="000000"/>
                <w:sz w:val="24"/>
                <w:highlight w:val="none"/>
              </w:rPr>
            </w:pPr>
          </w:p>
        </w:tc>
        <w:tc>
          <w:tcPr>
            <w:tcW w:w="1130" w:type="dxa"/>
            <w:vMerge w:val="continue"/>
            <w:tcBorders>
              <w:top w:val="single" w:color="000000" w:sz="4" w:space="0"/>
              <w:left w:val="single" w:color="000000" w:sz="4" w:space="0"/>
              <w:bottom w:val="single" w:color="000000" w:sz="4" w:space="0"/>
              <w:right w:val="single" w:color="000000" w:sz="4" w:space="0"/>
            </w:tcBorders>
            <w:noWrap/>
            <w:vAlign w:val="center"/>
          </w:tcPr>
          <w:p w14:paraId="42FA0161">
            <w:pPr>
              <w:jc w:val="center"/>
              <w:rPr>
                <w:rFonts w:hint="eastAsia" w:ascii="仿宋" w:hAnsi="仿宋" w:eastAsia="仿宋" w:cs="仿宋"/>
                <w:b/>
                <w:bCs/>
                <w:color w:val="000000"/>
                <w:sz w:val="24"/>
                <w:highlight w:val="none"/>
              </w:rPr>
            </w:pPr>
          </w:p>
        </w:tc>
        <w:tc>
          <w:tcPr>
            <w:tcW w:w="1996" w:type="dxa"/>
            <w:tcBorders>
              <w:top w:val="single" w:color="000000" w:sz="4" w:space="0"/>
              <w:left w:val="single" w:color="000000" w:sz="4" w:space="0"/>
              <w:bottom w:val="single" w:color="000000" w:sz="4" w:space="0"/>
              <w:right w:val="single" w:color="000000" w:sz="4" w:space="0"/>
            </w:tcBorders>
            <w:noWrap/>
            <w:vAlign w:val="center"/>
          </w:tcPr>
          <w:p w14:paraId="0C13C7A6">
            <w:pPr>
              <w:widowControl/>
              <w:jc w:val="center"/>
              <w:textAlignment w:val="center"/>
              <w:rPr>
                <w:rFonts w:hint="eastAsia" w:ascii="仿宋" w:hAnsi="仿宋" w:eastAsia="仿宋" w:cs="仿宋"/>
                <w:b/>
                <w:bCs/>
                <w:color w:val="000000"/>
                <w:sz w:val="24"/>
                <w:highlight w:val="none"/>
              </w:rPr>
            </w:pPr>
            <w:r>
              <w:rPr>
                <w:rFonts w:hint="eastAsia" w:ascii="仿宋" w:hAnsi="仿宋" w:eastAsia="仿宋" w:cs="仿宋"/>
                <w:b/>
                <w:bCs/>
                <w:color w:val="000000"/>
                <w:kern w:val="0"/>
                <w:sz w:val="24"/>
                <w:highlight w:val="none"/>
                <w:lang w:bidi="ar"/>
              </w:rPr>
              <w:t>男子</w:t>
            </w:r>
          </w:p>
        </w:tc>
        <w:tc>
          <w:tcPr>
            <w:tcW w:w="1804" w:type="dxa"/>
            <w:tcBorders>
              <w:top w:val="single" w:color="000000" w:sz="4" w:space="0"/>
              <w:left w:val="single" w:color="000000" w:sz="4" w:space="0"/>
              <w:bottom w:val="single" w:color="000000" w:sz="4" w:space="0"/>
              <w:right w:val="single" w:color="000000" w:sz="4" w:space="0"/>
            </w:tcBorders>
            <w:noWrap/>
            <w:vAlign w:val="center"/>
          </w:tcPr>
          <w:p w14:paraId="6DDEE3E0">
            <w:pPr>
              <w:widowControl/>
              <w:jc w:val="center"/>
              <w:textAlignment w:val="center"/>
              <w:rPr>
                <w:rFonts w:hint="eastAsia" w:ascii="仿宋" w:hAnsi="仿宋" w:eastAsia="仿宋" w:cs="仿宋"/>
                <w:b/>
                <w:bCs/>
                <w:color w:val="000000"/>
                <w:sz w:val="24"/>
                <w:highlight w:val="none"/>
              </w:rPr>
            </w:pPr>
            <w:r>
              <w:rPr>
                <w:rFonts w:hint="eastAsia" w:ascii="仿宋" w:hAnsi="仿宋" w:eastAsia="仿宋" w:cs="仿宋"/>
                <w:b/>
                <w:bCs/>
                <w:color w:val="000000"/>
                <w:kern w:val="0"/>
                <w:sz w:val="24"/>
                <w:highlight w:val="none"/>
                <w:lang w:bidi="ar"/>
              </w:rPr>
              <w:t>女子</w:t>
            </w:r>
          </w:p>
        </w:tc>
      </w:tr>
      <w:tr w14:paraId="7F350A48">
        <w:tblPrEx>
          <w:tblCellMar>
            <w:top w:w="0" w:type="dxa"/>
            <w:left w:w="108" w:type="dxa"/>
            <w:bottom w:w="0" w:type="dxa"/>
            <w:right w:w="108" w:type="dxa"/>
          </w:tblCellMar>
        </w:tblPrEx>
        <w:trPr>
          <w:trHeight w:val="420" w:hRule="atLeast"/>
          <w:jc w:val="center"/>
        </w:trPr>
        <w:tc>
          <w:tcPr>
            <w:tcW w:w="716" w:type="dxa"/>
            <w:tcBorders>
              <w:top w:val="single" w:color="000000" w:sz="4" w:space="0"/>
              <w:left w:val="single" w:color="000000" w:sz="4" w:space="0"/>
              <w:bottom w:val="single" w:color="000000" w:sz="4" w:space="0"/>
              <w:right w:val="single" w:color="000000" w:sz="4" w:space="0"/>
            </w:tcBorders>
            <w:noWrap/>
            <w:vAlign w:val="center"/>
          </w:tcPr>
          <w:p w14:paraId="0E3740A0">
            <w:pPr>
              <w:widowControl/>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kern w:val="0"/>
                <w:sz w:val="24"/>
                <w:highlight w:val="none"/>
                <w:lang w:bidi="ar"/>
              </w:rPr>
              <w:t>甲</w:t>
            </w:r>
          </w:p>
        </w:tc>
        <w:tc>
          <w:tcPr>
            <w:tcW w:w="2420" w:type="dxa"/>
            <w:tcBorders>
              <w:top w:val="single" w:color="000000" w:sz="4" w:space="0"/>
              <w:left w:val="single" w:color="000000" w:sz="4" w:space="0"/>
              <w:bottom w:val="single" w:color="000000" w:sz="4" w:space="0"/>
              <w:right w:val="single" w:color="000000" w:sz="4" w:space="0"/>
            </w:tcBorders>
            <w:noWrap/>
            <w:vAlign w:val="center"/>
          </w:tcPr>
          <w:p w14:paraId="78B6E308">
            <w:pPr>
              <w:widowControl/>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kern w:val="0"/>
                <w:sz w:val="24"/>
                <w:highlight w:val="none"/>
                <w:lang w:bidi="ar"/>
              </w:rPr>
              <w:t>08.9.1-10.12.31</w:t>
            </w:r>
          </w:p>
        </w:tc>
        <w:tc>
          <w:tcPr>
            <w:tcW w:w="1130" w:type="dxa"/>
            <w:tcBorders>
              <w:top w:val="single" w:color="000000" w:sz="4" w:space="0"/>
              <w:left w:val="single" w:color="000000" w:sz="4" w:space="0"/>
              <w:bottom w:val="single" w:color="000000" w:sz="4" w:space="0"/>
              <w:right w:val="single" w:color="000000" w:sz="4" w:space="0"/>
            </w:tcBorders>
            <w:noWrap/>
            <w:vAlign w:val="center"/>
          </w:tcPr>
          <w:p w14:paraId="1B30B0DB">
            <w:pPr>
              <w:widowControl/>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kern w:val="0"/>
                <w:sz w:val="24"/>
                <w:highlight w:val="none"/>
                <w:lang w:bidi="ar"/>
              </w:rPr>
              <w:t>2</w:t>
            </w:r>
          </w:p>
        </w:tc>
        <w:tc>
          <w:tcPr>
            <w:tcW w:w="1996" w:type="dxa"/>
            <w:tcBorders>
              <w:top w:val="single" w:color="000000" w:sz="4" w:space="0"/>
              <w:left w:val="single" w:color="000000" w:sz="4" w:space="0"/>
              <w:bottom w:val="single" w:color="000000" w:sz="4" w:space="0"/>
              <w:right w:val="single" w:color="000000" w:sz="4" w:space="0"/>
            </w:tcBorders>
            <w:noWrap/>
            <w:vAlign w:val="center"/>
          </w:tcPr>
          <w:p w14:paraId="35FD7A48">
            <w:pPr>
              <w:widowControl/>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kern w:val="0"/>
                <w:sz w:val="24"/>
                <w:highlight w:val="none"/>
                <w:lang w:bidi="ar"/>
              </w:rPr>
              <w:t>篮球</w:t>
            </w:r>
          </w:p>
        </w:tc>
        <w:tc>
          <w:tcPr>
            <w:tcW w:w="1804" w:type="dxa"/>
            <w:tcBorders>
              <w:top w:val="single" w:color="000000" w:sz="4" w:space="0"/>
              <w:left w:val="single" w:color="000000" w:sz="4" w:space="0"/>
              <w:bottom w:val="single" w:color="000000" w:sz="4" w:space="0"/>
              <w:right w:val="single" w:color="000000" w:sz="4" w:space="0"/>
            </w:tcBorders>
            <w:noWrap/>
            <w:vAlign w:val="center"/>
          </w:tcPr>
          <w:p w14:paraId="5848E2E3">
            <w:pPr>
              <w:widowControl/>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kern w:val="0"/>
                <w:sz w:val="24"/>
                <w:highlight w:val="none"/>
                <w:lang w:bidi="ar"/>
              </w:rPr>
              <w:t>篮球</w:t>
            </w:r>
          </w:p>
        </w:tc>
      </w:tr>
      <w:tr w14:paraId="17874F74">
        <w:tblPrEx>
          <w:tblCellMar>
            <w:top w:w="0" w:type="dxa"/>
            <w:left w:w="108" w:type="dxa"/>
            <w:bottom w:w="0" w:type="dxa"/>
            <w:right w:w="108" w:type="dxa"/>
          </w:tblCellMar>
        </w:tblPrEx>
        <w:trPr>
          <w:trHeight w:val="420" w:hRule="atLeast"/>
          <w:jc w:val="center"/>
        </w:trPr>
        <w:tc>
          <w:tcPr>
            <w:tcW w:w="716" w:type="dxa"/>
            <w:tcBorders>
              <w:top w:val="single" w:color="000000" w:sz="4" w:space="0"/>
              <w:left w:val="single" w:color="000000" w:sz="4" w:space="0"/>
              <w:bottom w:val="single" w:color="000000" w:sz="4" w:space="0"/>
              <w:right w:val="single" w:color="000000" w:sz="4" w:space="0"/>
            </w:tcBorders>
            <w:noWrap/>
            <w:vAlign w:val="center"/>
          </w:tcPr>
          <w:p w14:paraId="30D87AF9">
            <w:pPr>
              <w:widowControl/>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kern w:val="0"/>
                <w:sz w:val="24"/>
                <w:highlight w:val="none"/>
                <w:lang w:bidi="ar"/>
              </w:rPr>
              <w:t>乙</w:t>
            </w:r>
          </w:p>
        </w:tc>
        <w:tc>
          <w:tcPr>
            <w:tcW w:w="2420" w:type="dxa"/>
            <w:tcBorders>
              <w:top w:val="single" w:color="000000" w:sz="4" w:space="0"/>
              <w:left w:val="single" w:color="000000" w:sz="4" w:space="0"/>
              <w:bottom w:val="single" w:color="000000" w:sz="4" w:space="0"/>
              <w:right w:val="single" w:color="000000" w:sz="4" w:space="0"/>
            </w:tcBorders>
            <w:noWrap/>
            <w:vAlign w:val="center"/>
          </w:tcPr>
          <w:p w14:paraId="7BF25E06">
            <w:pPr>
              <w:widowControl/>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kern w:val="0"/>
                <w:sz w:val="24"/>
                <w:highlight w:val="none"/>
                <w:lang w:bidi="ar"/>
              </w:rPr>
              <w:t>11.1.1-12.12.31</w:t>
            </w:r>
          </w:p>
        </w:tc>
        <w:tc>
          <w:tcPr>
            <w:tcW w:w="1130" w:type="dxa"/>
            <w:tcBorders>
              <w:top w:val="single" w:color="000000" w:sz="4" w:space="0"/>
              <w:left w:val="single" w:color="000000" w:sz="4" w:space="0"/>
              <w:bottom w:val="single" w:color="000000" w:sz="4" w:space="0"/>
              <w:right w:val="single" w:color="000000" w:sz="4" w:space="0"/>
            </w:tcBorders>
            <w:noWrap/>
            <w:vAlign w:val="center"/>
          </w:tcPr>
          <w:p w14:paraId="1C0DF588">
            <w:pPr>
              <w:widowControl/>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kern w:val="0"/>
                <w:sz w:val="24"/>
                <w:highlight w:val="none"/>
                <w:lang w:bidi="ar"/>
              </w:rPr>
              <w:t>2</w:t>
            </w:r>
          </w:p>
        </w:tc>
        <w:tc>
          <w:tcPr>
            <w:tcW w:w="1996" w:type="dxa"/>
            <w:tcBorders>
              <w:top w:val="single" w:color="000000" w:sz="4" w:space="0"/>
              <w:left w:val="single" w:color="000000" w:sz="4" w:space="0"/>
              <w:bottom w:val="single" w:color="000000" w:sz="4" w:space="0"/>
              <w:right w:val="single" w:color="000000" w:sz="4" w:space="0"/>
            </w:tcBorders>
            <w:noWrap/>
            <w:vAlign w:val="center"/>
          </w:tcPr>
          <w:p w14:paraId="5E9124DE">
            <w:pPr>
              <w:widowControl/>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kern w:val="0"/>
                <w:sz w:val="24"/>
                <w:highlight w:val="none"/>
                <w:lang w:bidi="ar"/>
              </w:rPr>
              <w:t>篮球</w:t>
            </w:r>
          </w:p>
        </w:tc>
        <w:tc>
          <w:tcPr>
            <w:tcW w:w="1804" w:type="dxa"/>
            <w:tcBorders>
              <w:top w:val="single" w:color="000000" w:sz="4" w:space="0"/>
              <w:left w:val="single" w:color="000000" w:sz="4" w:space="0"/>
              <w:bottom w:val="single" w:color="000000" w:sz="4" w:space="0"/>
              <w:right w:val="single" w:color="000000" w:sz="4" w:space="0"/>
            </w:tcBorders>
            <w:noWrap/>
            <w:vAlign w:val="center"/>
          </w:tcPr>
          <w:p w14:paraId="014036EA">
            <w:pPr>
              <w:widowControl/>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kern w:val="0"/>
                <w:sz w:val="24"/>
                <w:highlight w:val="none"/>
                <w:lang w:bidi="ar"/>
              </w:rPr>
              <w:t>篮球</w:t>
            </w:r>
          </w:p>
        </w:tc>
      </w:tr>
      <w:tr w14:paraId="0EFD0A5E">
        <w:tblPrEx>
          <w:tblCellMar>
            <w:top w:w="0" w:type="dxa"/>
            <w:left w:w="108" w:type="dxa"/>
            <w:bottom w:w="0" w:type="dxa"/>
            <w:right w:w="108" w:type="dxa"/>
          </w:tblCellMar>
        </w:tblPrEx>
        <w:trPr>
          <w:trHeight w:val="420" w:hRule="atLeast"/>
          <w:jc w:val="center"/>
        </w:trPr>
        <w:tc>
          <w:tcPr>
            <w:tcW w:w="716" w:type="dxa"/>
            <w:tcBorders>
              <w:top w:val="single" w:color="000000" w:sz="4" w:space="0"/>
              <w:left w:val="single" w:color="000000" w:sz="4" w:space="0"/>
              <w:bottom w:val="single" w:color="000000" w:sz="4" w:space="0"/>
              <w:right w:val="single" w:color="000000" w:sz="4" w:space="0"/>
            </w:tcBorders>
            <w:noWrap/>
            <w:vAlign w:val="center"/>
          </w:tcPr>
          <w:p w14:paraId="3CFFE192">
            <w:pPr>
              <w:widowControl/>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kern w:val="0"/>
                <w:sz w:val="24"/>
                <w:highlight w:val="none"/>
                <w:lang w:bidi="ar"/>
              </w:rPr>
              <w:t>丙</w:t>
            </w:r>
          </w:p>
        </w:tc>
        <w:tc>
          <w:tcPr>
            <w:tcW w:w="2420" w:type="dxa"/>
            <w:tcBorders>
              <w:top w:val="single" w:color="000000" w:sz="4" w:space="0"/>
              <w:left w:val="single" w:color="000000" w:sz="4" w:space="0"/>
              <w:bottom w:val="single" w:color="000000" w:sz="4" w:space="0"/>
              <w:right w:val="single" w:color="000000" w:sz="4" w:space="0"/>
            </w:tcBorders>
            <w:noWrap/>
            <w:vAlign w:val="center"/>
          </w:tcPr>
          <w:p w14:paraId="3F7D6782">
            <w:pPr>
              <w:widowControl/>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kern w:val="0"/>
                <w:sz w:val="24"/>
                <w:highlight w:val="none"/>
                <w:lang w:bidi="ar"/>
              </w:rPr>
              <w:t>13.1.1-14.12.31</w:t>
            </w:r>
          </w:p>
        </w:tc>
        <w:tc>
          <w:tcPr>
            <w:tcW w:w="1130" w:type="dxa"/>
            <w:tcBorders>
              <w:top w:val="single" w:color="000000" w:sz="4" w:space="0"/>
              <w:left w:val="single" w:color="000000" w:sz="4" w:space="0"/>
              <w:bottom w:val="single" w:color="000000" w:sz="4" w:space="0"/>
              <w:right w:val="single" w:color="000000" w:sz="4" w:space="0"/>
            </w:tcBorders>
            <w:noWrap/>
            <w:vAlign w:val="center"/>
          </w:tcPr>
          <w:p w14:paraId="48F8B0B4">
            <w:pPr>
              <w:widowControl/>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kern w:val="0"/>
                <w:sz w:val="24"/>
                <w:highlight w:val="none"/>
                <w:lang w:bidi="ar"/>
              </w:rPr>
              <w:t>2</w:t>
            </w:r>
          </w:p>
        </w:tc>
        <w:tc>
          <w:tcPr>
            <w:tcW w:w="1996" w:type="dxa"/>
            <w:tcBorders>
              <w:top w:val="single" w:color="000000" w:sz="4" w:space="0"/>
              <w:left w:val="single" w:color="000000" w:sz="4" w:space="0"/>
              <w:bottom w:val="single" w:color="000000" w:sz="4" w:space="0"/>
              <w:right w:val="single" w:color="000000" w:sz="4" w:space="0"/>
            </w:tcBorders>
            <w:noWrap/>
            <w:vAlign w:val="center"/>
          </w:tcPr>
          <w:p w14:paraId="079FD85D">
            <w:pPr>
              <w:widowControl/>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kern w:val="0"/>
                <w:sz w:val="24"/>
                <w:highlight w:val="none"/>
                <w:lang w:bidi="ar"/>
              </w:rPr>
              <w:t>篮球</w:t>
            </w:r>
          </w:p>
        </w:tc>
        <w:tc>
          <w:tcPr>
            <w:tcW w:w="1804" w:type="dxa"/>
            <w:tcBorders>
              <w:top w:val="single" w:color="000000" w:sz="4" w:space="0"/>
              <w:left w:val="single" w:color="000000" w:sz="4" w:space="0"/>
              <w:bottom w:val="single" w:color="000000" w:sz="4" w:space="0"/>
              <w:right w:val="single" w:color="000000" w:sz="4" w:space="0"/>
            </w:tcBorders>
            <w:noWrap/>
            <w:vAlign w:val="center"/>
          </w:tcPr>
          <w:p w14:paraId="1A3C1BA3">
            <w:pPr>
              <w:widowControl/>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kern w:val="0"/>
                <w:sz w:val="24"/>
                <w:highlight w:val="none"/>
                <w:lang w:bidi="ar"/>
              </w:rPr>
              <w:t>篮球</w:t>
            </w:r>
          </w:p>
        </w:tc>
      </w:tr>
      <w:tr w14:paraId="61167784">
        <w:tblPrEx>
          <w:tblCellMar>
            <w:top w:w="0" w:type="dxa"/>
            <w:left w:w="108" w:type="dxa"/>
            <w:bottom w:w="0" w:type="dxa"/>
            <w:right w:w="108" w:type="dxa"/>
          </w:tblCellMar>
        </w:tblPrEx>
        <w:trPr>
          <w:trHeight w:val="420" w:hRule="atLeast"/>
          <w:jc w:val="center"/>
        </w:trPr>
        <w:tc>
          <w:tcPr>
            <w:tcW w:w="716" w:type="dxa"/>
            <w:tcBorders>
              <w:top w:val="single" w:color="000000" w:sz="4" w:space="0"/>
              <w:left w:val="single" w:color="000000" w:sz="4" w:space="0"/>
              <w:bottom w:val="single" w:color="000000" w:sz="4" w:space="0"/>
              <w:right w:val="single" w:color="000000" w:sz="4" w:space="0"/>
            </w:tcBorders>
            <w:noWrap/>
            <w:vAlign w:val="center"/>
          </w:tcPr>
          <w:p w14:paraId="1C837CEF">
            <w:pPr>
              <w:widowControl/>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kern w:val="0"/>
                <w:sz w:val="24"/>
                <w:highlight w:val="none"/>
                <w:lang w:bidi="ar"/>
              </w:rPr>
              <w:t>丁</w:t>
            </w:r>
          </w:p>
        </w:tc>
        <w:tc>
          <w:tcPr>
            <w:tcW w:w="2420" w:type="dxa"/>
            <w:tcBorders>
              <w:top w:val="single" w:color="000000" w:sz="4" w:space="0"/>
              <w:left w:val="single" w:color="000000" w:sz="4" w:space="0"/>
              <w:bottom w:val="single" w:color="000000" w:sz="4" w:space="0"/>
              <w:right w:val="single" w:color="000000" w:sz="4" w:space="0"/>
            </w:tcBorders>
            <w:noWrap/>
            <w:vAlign w:val="center"/>
          </w:tcPr>
          <w:p w14:paraId="7B5CACEB">
            <w:pPr>
              <w:widowControl/>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kern w:val="0"/>
                <w:sz w:val="24"/>
                <w:highlight w:val="none"/>
                <w:lang w:bidi="ar"/>
              </w:rPr>
              <w:t>15.1.1-17.12.31</w:t>
            </w:r>
          </w:p>
        </w:tc>
        <w:tc>
          <w:tcPr>
            <w:tcW w:w="1130" w:type="dxa"/>
            <w:tcBorders>
              <w:top w:val="single" w:color="000000" w:sz="4" w:space="0"/>
              <w:left w:val="single" w:color="000000" w:sz="4" w:space="0"/>
              <w:bottom w:val="single" w:color="000000" w:sz="4" w:space="0"/>
              <w:right w:val="single" w:color="000000" w:sz="4" w:space="0"/>
            </w:tcBorders>
            <w:noWrap/>
            <w:vAlign w:val="center"/>
          </w:tcPr>
          <w:p w14:paraId="2D62BA3E">
            <w:pPr>
              <w:widowControl/>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kern w:val="0"/>
                <w:sz w:val="24"/>
                <w:highlight w:val="none"/>
                <w:lang w:bidi="ar"/>
              </w:rPr>
              <w:t>2</w:t>
            </w:r>
          </w:p>
        </w:tc>
        <w:tc>
          <w:tcPr>
            <w:tcW w:w="1996" w:type="dxa"/>
            <w:tcBorders>
              <w:top w:val="single" w:color="000000" w:sz="4" w:space="0"/>
              <w:left w:val="single" w:color="000000" w:sz="4" w:space="0"/>
              <w:bottom w:val="single" w:color="000000" w:sz="4" w:space="0"/>
              <w:right w:val="single" w:color="000000" w:sz="4" w:space="0"/>
            </w:tcBorders>
            <w:noWrap/>
            <w:vAlign w:val="center"/>
          </w:tcPr>
          <w:p w14:paraId="3F8FB491">
            <w:pPr>
              <w:widowControl/>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kern w:val="0"/>
                <w:sz w:val="24"/>
                <w:highlight w:val="none"/>
                <w:lang w:bidi="ar"/>
              </w:rPr>
              <w:t>篮球</w:t>
            </w:r>
          </w:p>
        </w:tc>
        <w:tc>
          <w:tcPr>
            <w:tcW w:w="1804" w:type="dxa"/>
            <w:tcBorders>
              <w:top w:val="single" w:color="000000" w:sz="4" w:space="0"/>
              <w:left w:val="single" w:color="000000" w:sz="4" w:space="0"/>
              <w:bottom w:val="single" w:color="000000" w:sz="4" w:space="0"/>
              <w:right w:val="single" w:color="000000" w:sz="4" w:space="0"/>
            </w:tcBorders>
            <w:noWrap/>
            <w:vAlign w:val="center"/>
          </w:tcPr>
          <w:p w14:paraId="070EE291">
            <w:pPr>
              <w:widowControl/>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kern w:val="0"/>
                <w:sz w:val="24"/>
                <w:highlight w:val="none"/>
                <w:lang w:bidi="ar"/>
              </w:rPr>
              <w:t>篮球</w:t>
            </w:r>
          </w:p>
        </w:tc>
      </w:tr>
    </w:tbl>
    <w:p w14:paraId="35F3EE8D">
      <w:pPr>
        <w:keepNext w:val="0"/>
        <w:keepLines w:val="0"/>
        <w:pageBreakBefore w:val="0"/>
        <w:kinsoku/>
        <w:wordWrap/>
        <w:autoSpaceDE/>
        <w:autoSpaceDN/>
        <w:bidi w:val="0"/>
        <w:spacing w:line="540" w:lineRule="exact"/>
        <w:ind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 xml:space="preserve">八、参赛资格 </w:t>
      </w:r>
    </w:p>
    <w:p w14:paraId="6A136AC4">
      <w:pPr>
        <w:keepNext w:val="0"/>
        <w:keepLines w:val="0"/>
        <w:pageBreakBefore w:val="0"/>
        <w:kinsoku/>
        <w:wordWrap/>
        <w:autoSpaceDE/>
        <w:autoSpaceDN/>
        <w:bidi w:val="0"/>
        <w:spacing w:line="5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（一）运动员须具有中国国籍（包括港、澳、台）。运动员须经医务部门检查，证明身体健康，适合参赛。</w:t>
      </w:r>
    </w:p>
    <w:p w14:paraId="05F3CF5A">
      <w:pPr>
        <w:keepNext w:val="0"/>
        <w:keepLines w:val="0"/>
        <w:pageBreakBefore w:val="0"/>
        <w:kinsoku/>
        <w:wordWrap/>
        <w:autoSpaceDE/>
        <w:autoSpaceDN/>
        <w:bidi w:val="0"/>
        <w:spacing w:line="540" w:lineRule="exact"/>
        <w:ind w:firstLine="560" w:firstLineChars="200"/>
        <w:textAlignment w:val="auto"/>
        <w:rPr>
          <w:rFonts w:hint="eastAsia" w:ascii="仿宋" w:hAnsi="仿宋" w:eastAsia="仿宋" w:cs="仿宋"/>
          <w:sz w:val="28"/>
          <w:szCs w:val="28"/>
          <w:highlight w:val="none"/>
        </w:rPr>
      </w:pPr>
      <w:r>
        <w:rPr>
          <w:rFonts w:ascii="仿宋" w:hAnsi="仿宋" w:eastAsia="仿宋" w:cs="仿宋"/>
          <w:sz w:val="28"/>
          <w:szCs w:val="28"/>
          <w:highlight w:val="none"/>
        </w:rPr>
        <w:t>（二）每名运动员只能代表一个单位（代表团）参赛；运动员不得跨越组别参赛。</w:t>
      </w:r>
    </w:p>
    <w:p w14:paraId="7566639E">
      <w:pPr>
        <w:keepNext w:val="0"/>
        <w:keepLines w:val="0"/>
        <w:pageBreakBefore w:val="0"/>
        <w:kinsoku/>
        <w:wordWrap/>
        <w:autoSpaceDE/>
        <w:autoSpaceDN/>
        <w:bidi w:val="0"/>
        <w:spacing w:line="540" w:lineRule="exact"/>
        <w:ind w:firstLine="560" w:firstLineChars="200"/>
        <w:textAlignment w:val="auto"/>
        <w:rPr>
          <w:rFonts w:hint="eastAsia" w:ascii="仿宋" w:hAnsi="仿宋" w:eastAsia="仿宋" w:cs="仿宋"/>
          <w:sz w:val="28"/>
          <w:szCs w:val="28"/>
          <w:highlight w:val="none"/>
        </w:rPr>
      </w:pPr>
      <w:r>
        <w:rPr>
          <w:rFonts w:ascii="仿宋" w:hAnsi="仿宋" w:eastAsia="仿宋" w:cs="仿宋"/>
          <w:sz w:val="28"/>
          <w:szCs w:val="28"/>
          <w:highlight w:val="none"/>
        </w:rPr>
        <w:t>（三）参赛运动员必须是202</w:t>
      </w:r>
      <w:r>
        <w:rPr>
          <w:rFonts w:hint="eastAsia" w:ascii="仿宋" w:hAnsi="仿宋" w:eastAsia="仿宋" w:cs="仿宋"/>
          <w:sz w:val="28"/>
          <w:szCs w:val="28"/>
          <w:highlight w:val="none"/>
        </w:rPr>
        <w:t>6</w:t>
      </w:r>
      <w:r>
        <w:rPr>
          <w:rFonts w:ascii="仿宋" w:hAnsi="仿宋" w:eastAsia="仿宋" w:cs="仿宋"/>
          <w:sz w:val="28"/>
          <w:szCs w:val="28"/>
          <w:highlight w:val="none"/>
        </w:rPr>
        <w:t>年在本市有效注册的青少年运动员，并持本人当年有效的《上海市青少年运动员注册卡》参赛。</w:t>
      </w:r>
    </w:p>
    <w:p w14:paraId="74089FE1">
      <w:pPr>
        <w:keepNext w:val="0"/>
        <w:keepLines w:val="0"/>
        <w:pageBreakBefore w:val="0"/>
        <w:kinsoku/>
        <w:wordWrap/>
        <w:autoSpaceDE/>
        <w:autoSpaceDN/>
        <w:bidi w:val="0"/>
        <w:spacing w:line="540" w:lineRule="exact"/>
        <w:ind w:firstLine="560" w:firstLineChars="200"/>
        <w:textAlignment w:val="auto"/>
        <w:rPr>
          <w:rFonts w:hint="eastAsia" w:ascii="仿宋" w:hAnsi="仿宋" w:eastAsia="仿宋" w:cs="仿宋"/>
          <w:sz w:val="28"/>
          <w:szCs w:val="28"/>
          <w:highlight w:val="none"/>
        </w:rPr>
      </w:pPr>
      <w:r>
        <w:rPr>
          <w:rFonts w:ascii="仿宋" w:hAnsi="仿宋" w:eastAsia="仿宋" w:cs="仿宋"/>
          <w:sz w:val="28"/>
          <w:szCs w:val="28"/>
          <w:highlight w:val="none"/>
        </w:rPr>
        <w:t>（四）参赛运动员须达到202</w:t>
      </w:r>
      <w:r>
        <w:rPr>
          <w:rFonts w:hint="eastAsia" w:ascii="仿宋" w:hAnsi="仿宋" w:eastAsia="仿宋" w:cs="仿宋"/>
          <w:sz w:val="28"/>
          <w:szCs w:val="28"/>
          <w:highlight w:val="none"/>
        </w:rPr>
        <w:t>6</w:t>
      </w:r>
      <w:r>
        <w:rPr>
          <w:rFonts w:ascii="仿宋" w:hAnsi="仿宋" w:eastAsia="仿宋" w:cs="仿宋"/>
          <w:sz w:val="28"/>
          <w:szCs w:val="28"/>
          <w:highlight w:val="none"/>
        </w:rPr>
        <w:t>年</w:t>
      </w:r>
      <w:r>
        <w:rPr>
          <w:rFonts w:hint="eastAsia" w:ascii="仿宋" w:hAnsi="仿宋" w:eastAsia="仿宋" w:cs="仿宋"/>
          <w:sz w:val="28"/>
          <w:szCs w:val="28"/>
          <w:highlight w:val="none"/>
        </w:rPr>
        <w:t>上海市青少年体育精英系列赛篮球比赛第一站暨</w:t>
      </w:r>
      <w:r>
        <w:rPr>
          <w:rFonts w:ascii="仿宋" w:hAnsi="仿宋" w:eastAsia="仿宋" w:cs="仿宋"/>
          <w:sz w:val="28"/>
          <w:szCs w:val="28"/>
          <w:highlight w:val="none"/>
        </w:rPr>
        <w:t>上海市</w:t>
      </w:r>
      <w:r>
        <w:rPr>
          <w:rFonts w:hint="eastAsia" w:ascii="仿宋" w:hAnsi="仿宋" w:eastAsia="仿宋" w:cs="仿宋"/>
          <w:sz w:val="28"/>
          <w:szCs w:val="28"/>
          <w:highlight w:val="none"/>
        </w:rPr>
        <w:t>篮球</w:t>
      </w:r>
      <w:r>
        <w:rPr>
          <w:rFonts w:ascii="仿宋" w:hAnsi="仿宋" w:eastAsia="仿宋" w:cs="仿宋"/>
          <w:sz w:val="28"/>
          <w:szCs w:val="28"/>
          <w:highlight w:val="none"/>
        </w:rPr>
        <w:t>二线体能测试赛</w:t>
      </w:r>
      <w:r>
        <w:rPr>
          <w:rFonts w:hint="eastAsia" w:ascii="仿宋" w:hAnsi="仿宋" w:eastAsia="仿宋" w:cs="仿宋"/>
          <w:b w:val="0"/>
          <w:bCs w:val="0"/>
          <w:sz w:val="28"/>
          <w:szCs w:val="28"/>
          <w:highlight w:val="none"/>
          <w:lang w:val="en-US" w:eastAsia="zh-CN"/>
        </w:rPr>
        <w:t>达标</w:t>
      </w:r>
      <w:r>
        <w:rPr>
          <w:rFonts w:ascii="仿宋" w:hAnsi="仿宋" w:eastAsia="仿宋" w:cs="仿宋"/>
          <w:sz w:val="28"/>
          <w:szCs w:val="28"/>
          <w:highlight w:val="none"/>
        </w:rPr>
        <w:t>分（</w:t>
      </w:r>
      <w:r>
        <w:rPr>
          <w:rFonts w:hint="eastAsia" w:ascii="仿宋" w:hAnsi="仿宋" w:eastAsia="仿宋" w:cs="仿宋"/>
          <w:sz w:val="28"/>
          <w:szCs w:val="28"/>
          <w:highlight w:val="none"/>
        </w:rPr>
        <w:t>乙组30</w:t>
      </w:r>
      <w:r>
        <w:rPr>
          <w:rFonts w:ascii="仿宋" w:hAnsi="仿宋" w:eastAsia="仿宋" w:cs="仿宋"/>
          <w:sz w:val="28"/>
          <w:szCs w:val="28"/>
          <w:highlight w:val="none"/>
        </w:rPr>
        <w:t>分</w:t>
      </w:r>
      <w:r>
        <w:rPr>
          <w:rFonts w:hint="eastAsia" w:ascii="仿宋" w:hAnsi="仿宋" w:eastAsia="仿宋" w:cs="仿宋"/>
          <w:sz w:val="28"/>
          <w:szCs w:val="28"/>
          <w:highlight w:val="none"/>
        </w:rPr>
        <w:t>，丙、丁组35</w:t>
      </w:r>
      <w:r>
        <w:rPr>
          <w:rFonts w:ascii="仿宋" w:hAnsi="仿宋" w:eastAsia="仿宋" w:cs="仿宋"/>
          <w:sz w:val="28"/>
          <w:szCs w:val="28"/>
          <w:highlight w:val="none"/>
        </w:rPr>
        <w:t>分），方可参赛</w:t>
      </w:r>
      <w:r>
        <w:rPr>
          <w:rFonts w:hint="eastAsia" w:ascii="仿宋" w:hAnsi="仿宋" w:eastAsia="仿宋" w:cs="仿宋"/>
          <w:sz w:val="28"/>
          <w:szCs w:val="28"/>
          <w:highlight w:val="none"/>
        </w:rPr>
        <w:t>（甲组运动员除外）</w:t>
      </w:r>
      <w:r>
        <w:rPr>
          <w:rFonts w:ascii="仿宋" w:hAnsi="仿宋" w:eastAsia="仿宋" w:cs="仿宋"/>
          <w:sz w:val="28"/>
          <w:szCs w:val="28"/>
          <w:highlight w:val="none"/>
        </w:rPr>
        <w:t>。</w:t>
      </w:r>
    </w:p>
    <w:p w14:paraId="09EA61C5">
      <w:pPr>
        <w:keepNext w:val="0"/>
        <w:keepLines w:val="0"/>
        <w:pageBreakBefore w:val="0"/>
        <w:kinsoku/>
        <w:wordWrap/>
        <w:autoSpaceDE/>
        <w:autoSpaceDN/>
        <w:bidi w:val="0"/>
        <w:spacing w:line="540" w:lineRule="exact"/>
        <w:ind w:firstLine="560" w:firstLineChars="200"/>
        <w:textAlignment w:val="auto"/>
        <w:rPr>
          <w:rFonts w:hint="eastAsia" w:ascii="仿宋" w:hAnsi="仿宋" w:eastAsia="仿宋" w:cs="仿宋"/>
          <w:sz w:val="28"/>
          <w:szCs w:val="28"/>
          <w:highlight w:val="none"/>
        </w:rPr>
      </w:pPr>
      <w:r>
        <w:rPr>
          <w:rFonts w:ascii="仿宋" w:hAnsi="仿宋" w:eastAsia="仿宋" w:cs="仿宋"/>
          <w:sz w:val="28"/>
          <w:szCs w:val="28"/>
          <w:highlight w:val="none"/>
        </w:rPr>
        <w:t>（五）按照市体育局《上海市体育后备人才输送认定办法》（沪体青〔2023〕72号），已被认定为向一线输送或等同于向一线输送的运动员均不得参加本届运动会。上述运动员的认定以本届运动会第二次报名前市体育局、市人力资源社会保障局有关文件及相关证明材料为准。</w:t>
      </w:r>
    </w:p>
    <w:p w14:paraId="7FB56CBF">
      <w:pPr>
        <w:keepNext w:val="0"/>
        <w:keepLines w:val="0"/>
        <w:pageBreakBefore w:val="0"/>
        <w:kinsoku/>
        <w:wordWrap/>
        <w:autoSpaceDE/>
        <w:autoSpaceDN/>
        <w:bidi w:val="0"/>
        <w:spacing w:line="540" w:lineRule="exact"/>
        <w:ind w:firstLine="560" w:firstLineChars="200"/>
        <w:textAlignment w:val="auto"/>
        <w:rPr>
          <w:rFonts w:hint="eastAsia" w:ascii="仿宋" w:hAnsi="仿宋" w:eastAsia="仿宋" w:cs="仿宋"/>
          <w:sz w:val="28"/>
          <w:szCs w:val="28"/>
          <w:highlight w:val="none"/>
        </w:rPr>
      </w:pPr>
      <w:r>
        <w:rPr>
          <w:rFonts w:ascii="仿宋" w:hAnsi="仿宋" w:eastAsia="仿宋" w:cs="仿宋"/>
          <w:sz w:val="28"/>
          <w:szCs w:val="28"/>
          <w:highlight w:val="none"/>
        </w:rPr>
        <w:t>（六）2026年已在外省市注册或代表外省市在国家体育总局注册的运动员不得参加比赛，经上海市体育局批准同意交流至外省市的运动员除外。</w:t>
      </w:r>
    </w:p>
    <w:p w14:paraId="6E19E5B4">
      <w:pPr>
        <w:keepNext w:val="0"/>
        <w:keepLines w:val="0"/>
        <w:pageBreakBefore w:val="0"/>
        <w:kinsoku/>
        <w:wordWrap/>
        <w:autoSpaceDE/>
        <w:autoSpaceDN/>
        <w:bidi w:val="0"/>
        <w:spacing w:line="540" w:lineRule="exact"/>
        <w:ind w:firstLine="560" w:firstLineChars="200"/>
        <w:textAlignment w:val="auto"/>
        <w:rPr>
          <w:rFonts w:hint="eastAsia" w:ascii="仿宋" w:hAnsi="仿宋" w:eastAsia="仿宋" w:cs="仿宋"/>
          <w:sz w:val="28"/>
          <w:szCs w:val="28"/>
          <w:highlight w:val="none"/>
        </w:rPr>
      </w:pPr>
      <w:r>
        <w:rPr>
          <w:rFonts w:ascii="仿宋" w:hAnsi="仿宋" w:eastAsia="仿宋" w:cs="仿宋"/>
          <w:sz w:val="28"/>
          <w:szCs w:val="28"/>
          <w:highlight w:val="none"/>
        </w:rPr>
        <w:t>（七）本市市属青少年高水平运动队在编运动员代表注册单位参赛。</w:t>
      </w:r>
    </w:p>
    <w:p w14:paraId="728E1037">
      <w:pPr>
        <w:keepNext w:val="0"/>
        <w:keepLines w:val="0"/>
        <w:pageBreakBefore w:val="0"/>
        <w:kinsoku/>
        <w:wordWrap/>
        <w:autoSpaceDE/>
        <w:autoSpaceDN/>
        <w:bidi w:val="0"/>
        <w:spacing w:line="540" w:lineRule="exact"/>
        <w:ind w:firstLine="560" w:firstLineChars="200"/>
        <w:textAlignment w:val="auto"/>
        <w:rPr>
          <w:rFonts w:hint="eastAsia" w:ascii="仿宋" w:hAnsi="仿宋" w:eastAsia="仿宋" w:cs="仿宋"/>
          <w:sz w:val="28"/>
          <w:szCs w:val="28"/>
          <w:highlight w:val="none"/>
        </w:rPr>
      </w:pPr>
      <w:r>
        <w:rPr>
          <w:rFonts w:ascii="仿宋" w:hAnsi="仿宋" w:eastAsia="仿宋" w:cs="仿宋"/>
          <w:sz w:val="28"/>
          <w:szCs w:val="28"/>
          <w:highlight w:val="none"/>
        </w:rPr>
        <w:t>（八）经市教委、市体育局共同认定的上海市高中阶段学校引进优秀体育学生，于2026年7月10日前办理注册手续的，可直接参加本届运动会。</w:t>
      </w:r>
    </w:p>
    <w:p w14:paraId="4F11087D">
      <w:pPr>
        <w:keepNext w:val="0"/>
        <w:keepLines w:val="0"/>
        <w:pageBreakBefore w:val="0"/>
        <w:kinsoku/>
        <w:wordWrap/>
        <w:autoSpaceDE/>
        <w:autoSpaceDN/>
        <w:bidi w:val="0"/>
        <w:adjustRightInd w:val="0"/>
        <w:snapToGrid w:val="0"/>
        <w:spacing w:line="540" w:lineRule="exact"/>
        <w:ind w:firstLine="562" w:firstLineChars="200"/>
        <w:textAlignment w:val="auto"/>
        <w:rPr>
          <w:rFonts w:hint="eastAsia" w:ascii="仿宋" w:hAnsi="仿宋" w:eastAsia="仿宋" w:cs="仿宋"/>
          <w:b/>
          <w:sz w:val="28"/>
          <w:szCs w:val="28"/>
          <w:highlight w:val="none"/>
        </w:rPr>
      </w:pPr>
      <w:r>
        <w:rPr>
          <w:rFonts w:hint="eastAsia" w:ascii="仿宋" w:hAnsi="仿宋" w:eastAsia="仿宋" w:cs="仿宋"/>
          <w:b/>
          <w:sz w:val="28"/>
          <w:szCs w:val="28"/>
          <w:highlight w:val="none"/>
        </w:rPr>
        <w:t>九、参加办法</w:t>
      </w:r>
    </w:p>
    <w:p w14:paraId="5B7F7CA6">
      <w:pPr>
        <w:keepNext w:val="0"/>
        <w:keepLines w:val="0"/>
        <w:pageBreakBefore w:val="0"/>
        <w:kinsoku/>
        <w:wordWrap/>
        <w:autoSpaceDE/>
        <w:autoSpaceDN/>
        <w:bidi w:val="0"/>
        <w:spacing w:line="5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（一）各代表团各组别可报1支队伍，另可在男女8个组别中额外增报男女各一支“一条龙”布局学校参赛，报名运动员必须是同一所学校的在籍在读学生。</w:t>
      </w:r>
    </w:p>
    <w:p w14:paraId="44DDD2F5">
      <w:pPr>
        <w:keepNext w:val="0"/>
        <w:keepLines w:val="0"/>
        <w:pageBreakBefore w:val="0"/>
        <w:kinsoku/>
        <w:wordWrap/>
        <w:overflowPunct w:val="0"/>
        <w:topLinePunct/>
        <w:autoSpaceDE/>
        <w:autoSpaceDN/>
        <w:bidi w:val="0"/>
        <w:spacing w:line="540" w:lineRule="exact"/>
        <w:ind w:left="105" w:leftChars="50"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（二）每队可报领队1名，主教练1名，助理教练员</w:t>
      </w:r>
      <w:r>
        <w:rPr>
          <w:rFonts w:hint="eastAsia" w:ascii="仿宋" w:hAnsi="仿宋" w:eastAsia="仿宋" w:cs="仿宋"/>
          <w:sz w:val="28"/>
          <w:szCs w:val="28"/>
          <w:highlight w:val="none"/>
          <w:lang w:val="en-US" w:eastAsia="zh-CN"/>
        </w:rPr>
        <w:t>0</w:t>
      </w:r>
      <w:r>
        <w:rPr>
          <w:rFonts w:hint="eastAsia" w:ascii="仿宋" w:hAnsi="仿宋" w:eastAsia="仿宋" w:cs="仿宋"/>
          <w:sz w:val="28"/>
          <w:szCs w:val="28"/>
          <w:highlight w:val="none"/>
        </w:rPr>
        <w:t>-2名，甲、乙组可报运动员8-12名；丙、丁组可报运动员10-15名，每场赛前确定该场出场队员10-12名。教练员须为2026年在本市有效注册的青训教练员，方可报名参赛。</w:t>
      </w:r>
    </w:p>
    <w:p w14:paraId="0CF2D501">
      <w:pPr>
        <w:keepNext w:val="0"/>
        <w:keepLines w:val="0"/>
        <w:pageBreakBefore w:val="0"/>
        <w:kinsoku/>
        <w:wordWrap/>
        <w:overflowPunct w:val="0"/>
        <w:topLinePunct/>
        <w:autoSpaceDE/>
        <w:autoSpaceDN/>
        <w:bidi w:val="0"/>
        <w:spacing w:line="540" w:lineRule="exact"/>
        <w:ind w:left="105" w:leftChars="50"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（三）各区如有2队报名参赛，报名1队（A队）的运动队视作为该区1号种子队进行落位编排。</w:t>
      </w:r>
    </w:p>
    <w:p w14:paraId="5AE22C3A">
      <w:pPr>
        <w:keepNext w:val="0"/>
        <w:keepLines w:val="0"/>
        <w:pageBreakBefore w:val="0"/>
        <w:kinsoku/>
        <w:wordWrap/>
        <w:autoSpaceDE/>
        <w:autoSpaceDN/>
        <w:bidi w:val="0"/>
        <w:adjustRightInd w:val="0"/>
        <w:snapToGrid w:val="0"/>
        <w:spacing w:line="540" w:lineRule="exact"/>
        <w:ind w:firstLine="561"/>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（四）交流运动员报名人数不超过该组别实际报名人数30%（按四舍五入计），上场人数不超过1人。</w:t>
      </w:r>
    </w:p>
    <w:p w14:paraId="31C794FF">
      <w:pPr>
        <w:keepNext w:val="0"/>
        <w:keepLines w:val="0"/>
        <w:pageBreakBefore w:val="0"/>
        <w:kinsoku/>
        <w:wordWrap/>
        <w:autoSpaceDE/>
        <w:autoSpaceDN/>
        <w:bidi w:val="0"/>
        <w:adjustRightInd w:val="0"/>
        <w:snapToGrid w:val="0"/>
        <w:spacing w:line="540" w:lineRule="exact"/>
        <w:ind w:firstLine="561"/>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（五）运动员须上报符合本规程号码规定的球衣背号。参赛运动员名单、号码一经确认后，不得更改。球衣号码应与报名时上报的号码一致。（号码规定：市内交流运动员50-99号，其余运动员0-49号）</w:t>
      </w:r>
    </w:p>
    <w:p w14:paraId="50ABD201">
      <w:pPr>
        <w:keepNext w:val="0"/>
        <w:keepLines w:val="0"/>
        <w:pageBreakBefore w:val="0"/>
        <w:kinsoku/>
        <w:wordWrap/>
        <w:autoSpaceDE/>
        <w:autoSpaceDN/>
        <w:bidi w:val="0"/>
        <w:adjustRightInd w:val="0"/>
        <w:snapToGrid w:val="0"/>
        <w:spacing w:line="5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六）参赛单位通过大会指定的网站www.aijingsai.cn（上海青少年体育赛事网）进行网上报名，且须上传近期白底免冠证件照，填写背号、身高、体重、上场位置、联系人及联系方式。并在规定时间内将导出打印的报名表加盖公章后，一式两份报大会组委会竞赛部（地址：徐汇区零陵路800号8楼，竞赛部，31211118）</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逾期不予受理。</w:t>
      </w:r>
    </w:p>
    <w:p w14:paraId="6AA44242">
      <w:pPr>
        <w:keepNext w:val="0"/>
        <w:keepLines w:val="0"/>
        <w:pageBreakBefore w:val="0"/>
        <w:kinsoku/>
        <w:wordWrap/>
        <w:autoSpaceDE/>
        <w:autoSpaceDN/>
        <w:bidi w:val="0"/>
        <w:adjustRightInd w:val="0"/>
        <w:snapToGrid w:val="0"/>
        <w:spacing w:line="5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（七）各参赛单位须为参赛运动员办理人身意外伤害保险，须在报名时提交保险单据复印件。</w:t>
      </w:r>
    </w:p>
    <w:p w14:paraId="3A8ECC46">
      <w:pPr>
        <w:keepNext w:val="0"/>
        <w:keepLines w:val="0"/>
        <w:pageBreakBefore w:val="0"/>
        <w:kinsoku/>
        <w:wordWrap/>
        <w:autoSpaceDE/>
        <w:autoSpaceDN/>
        <w:bidi w:val="0"/>
        <w:adjustRightInd w:val="0"/>
        <w:snapToGrid w:val="0"/>
        <w:spacing w:line="540" w:lineRule="exact"/>
        <w:ind w:firstLine="562" w:firstLineChars="200"/>
        <w:textAlignment w:val="auto"/>
        <w:rPr>
          <w:rFonts w:hint="eastAsia" w:ascii="仿宋" w:hAnsi="仿宋" w:eastAsia="仿宋" w:cs="仿宋"/>
          <w:b/>
          <w:sz w:val="28"/>
          <w:szCs w:val="28"/>
          <w:highlight w:val="none"/>
        </w:rPr>
      </w:pPr>
      <w:r>
        <w:rPr>
          <w:rFonts w:hint="eastAsia" w:ascii="仿宋" w:hAnsi="仿宋" w:eastAsia="仿宋" w:cs="仿宋"/>
          <w:b/>
          <w:sz w:val="28"/>
          <w:szCs w:val="28"/>
          <w:highlight w:val="none"/>
        </w:rPr>
        <w:t>十、竞赛办法</w:t>
      </w:r>
    </w:p>
    <w:p w14:paraId="133F5B4B">
      <w:pPr>
        <w:keepNext w:val="0"/>
        <w:keepLines w:val="0"/>
        <w:pageBreakBefore w:val="0"/>
        <w:kinsoku/>
        <w:wordWrap/>
        <w:autoSpaceDE/>
        <w:autoSpaceDN/>
        <w:bidi w:val="0"/>
        <w:adjustRightInd w:val="0"/>
        <w:snapToGrid w:val="0"/>
        <w:spacing w:line="5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（一）采用中国篮球协会最新审定公布的《篮球规则》《篮球规则解释》及相关补充规定。</w:t>
      </w:r>
    </w:p>
    <w:p w14:paraId="009E1920">
      <w:pPr>
        <w:keepNext w:val="0"/>
        <w:keepLines w:val="0"/>
        <w:pageBreakBefore w:val="0"/>
        <w:kinsoku/>
        <w:wordWrap/>
        <w:autoSpaceDE/>
        <w:autoSpaceDN/>
        <w:bidi w:val="0"/>
        <w:adjustRightInd w:val="0"/>
        <w:snapToGrid w:val="0"/>
        <w:spacing w:line="540" w:lineRule="exact"/>
        <w:ind w:firstLine="564"/>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（二）排列办法：各组别按照2026年上海市青少年体育精英系列赛篮球比赛总决赛暨上海市青少年篮球锦标赛的名次进行蛇形编排。如同区球队恰好分在同一小组，将同区球队的比赛安排在首轮进行。</w:t>
      </w:r>
    </w:p>
    <w:p w14:paraId="4C36A209">
      <w:pPr>
        <w:keepNext w:val="0"/>
        <w:keepLines w:val="0"/>
        <w:pageBreakBefore w:val="0"/>
        <w:widowControl/>
        <w:numPr>
          <w:ilvl w:val="255"/>
          <w:numId w:val="0"/>
        </w:numPr>
        <w:kinsoku/>
        <w:wordWrap/>
        <w:autoSpaceDE/>
        <w:autoSpaceDN/>
        <w:bidi w:val="0"/>
        <w:adjustRightInd w:val="0"/>
        <w:snapToGrid w:val="0"/>
        <w:spacing w:line="540" w:lineRule="exact"/>
        <w:ind w:firstLine="564"/>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1.各组同区的2个名次均有效，如该区本次比赛报名2支球队，则分别直接落位；如该区本次报名1支球队，则按“留高去低”的原则进行落位，后续位次向前递补。</w:t>
      </w:r>
    </w:p>
    <w:p w14:paraId="66F32310">
      <w:pPr>
        <w:keepNext w:val="0"/>
        <w:keepLines w:val="0"/>
        <w:pageBreakBefore w:val="0"/>
        <w:widowControl/>
        <w:kinsoku/>
        <w:wordWrap/>
        <w:autoSpaceDE/>
        <w:autoSpaceDN/>
        <w:bidi w:val="0"/>
        <w:adjustRightInd w:val="0"/>
        <w:snapToGrid w:val="0"/>
        <w:spacing w:line="540" w:lineRule="exact"/>
        <w:ind w:firstLine="564"/>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2.各组未获得上述比赛名次或新参加的队伍抽签入组，具体抽签办法另行通知。</w:t>
      </w:r>
    </w:p>
    <w:p w14:paraId="1895026B">
      <w:pPr>
        <w:keepNext w:val="0"/>
        <w:keepLines w:val="0"/>
        <w:pageBreakBefore w:val="0"/>
        <w:kinsoku/>
        <w:wordWrap/>
        <w:autoSpaceDE/>
        <w:autoSpaceDN/>
        <w:bidi w:val="0"/>
        <w:adjustRightInd w:val="0"/>
        <w:snapToGrid w:val="0"/>
        <w:spacing w:line="540" w:lineRule="exact"/>
        <w:ind w:firstLine="564"/>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（三）赛制</w:t>
      </w:r>
      <w:r>
        <w:rPr>
          <w:rFonts w:ascii="仿宋" w:hAnsi="仿宋" w:eastAsia="仿宋" w:cs="仿宋"/>
          <w:sz w:val="28"/>
          <w:szCs w:val="28"/>
          <w:highlight w:val="none"/>
        </w:rPr>
        <w:t>办法</w:t>
      </w:r>
      <w:r>
        <w:rPr>
          <w:rFonts w:hint="eastAsia" w:ascii="仿宋" w:hAnsi="仿宋" w:eastAsia="仿宋" w:cs="仿宋"/>
          <w:sz w:val="28"/>
          <w:szCs w:val="28"/>
          <w:highlight w:val="none"/>
        </w:rPr>
        <w:t>：</w:t>
      </w:r>
    </w:p>
    <w:p w14:paraId="278A820A">
      <w:pPr>
        <w:keepNext w:val="0"/>
        <w:keepLines w:val="0"/>
        <w:pageBreakBefore w:val="0"/>
        <w:kinsoku/>
        <w:wordWrap/>
        <w:autoSpaceDE/>
        <w:autoSpaceDN/>
        <w:bidi w:val="0"/>
        <w:adjustRightInd w:val="0"/>
        <w:snapToGrid w:val="0"/>
        <w:spacing w:line="540" w:lineRule="exact"/>
        <w:ind w:firstLine="564"/>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1.各组别6队（含）以下采用单循环制；</w:t>
      </w:r>
    </w:p>
    <w:p w14:paraId="07AB71D5">
      <w:pPr>
        <w:keepNext w:val="0"/>
        <w:keepLines w:val="0"/>
        <w:pageBreakBefore w:val="0"/>
        <w:kinsoku/>
        <w:wordWrap/>
        <w:autoSpaceDE/>
        <w:autoSpaceDN/>
        <w:bidi w:val="0"/>
        <w:adjustRightInd w:val="0"/>
        <w:snapToGrid w:val="0"/>
        <w:spacing w:line="540" w:lineRule="exact"/>
        <w:ind w:firstLine="564"/>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2.7至11队采用蛇形排位分两组，先进行单循环赛，然后进行交叉淘汰附加赛：A1-B4（胜队E，负队I）、B1-A4（胜队F，负队J），胜队进入1-4名交叉赛，负队进入5-8名交叉赛；A2-B3（胜队G，负队K）、B2-A3（胜队H，负队L），胜队进入1-4名交叉赛，负队进入5-8名交叉赛；胜队交叉赛（E-H，F-G），胜者决冠亚军，负队决三、四名；负队交叉赛（L-I，J-K），胜队决五、六名，负队决七、八名；以此类推决出后续名次）。</w:t>
      </w:r>
    </w:p>
    <w:p w14:paraId="573AB4B2">
      <w:pPr>
        <w:keepNext w:val="0"/>
        <w:keepLines w:val="0"/>
        <w:pageBreakBefore w:val="0"/>
        <w:kinsoku/>
        <w:wordWrap/>
        <w:autoSpaceDE/>
        <w:autoSpaceDN/>
        <w:bidi w:val="0"/>
        <w:adjustRightInd w:val="0"/>
        <w:snapToGrid w:val="0"/>
        <w:spacing w:line="540" w:lineRule="exact"/>
        <w:ind w:firstLine="564"/>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3.12至23支队伍分四个组，先进行组内单循环赛，然后进行交叉淘汰附加赛，循环赛各小组第四名不再进行比赛。获得小组第二、三名的队，先进行交叉淘汰赛：A2-B3（胜队E，负队I）、B2-A3（胜队F，负队J）；C2-D3（胜队G，负队K）、D2-C3（胜队H，负队L），胜队进入1-8名交叉赛，负队进入9-12名交叉赛。</w:t>
      </w:r>
    </w:p>
    <w:p w14:paraId="0232F2F9">
      <w:pPr>
        <w:keepNext w:val="0"/>
        <w:keepLines w:val="0"/>
        <w:pageBreakBefore w:val="0"/>
        <w:kinsoku/>
        <w:wordWrap/>
        <w:autoSpaceDE/>
        <w:autoSpaceDN/>
        <w:bidi w:val="0"/>
        <w:adjustRightInd w:val="0"/>
        <w:snapToGrid w:val="0"/>
        <w:spacing w:line="5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1-8名交叉赛：A1-F（胜队L,负队P）、B1-E（胜队N,负队R）、C1-H（胜队O,负队S）、D1-G（胜队M,负队Q）；胜队交叉赛（L-M，N-O），胜队决冠亚军，负队决3、4名；负队交叉赛（R-S，P-Q），胜队决5、6名，负队决7、8名。</w:t>
      </w:r>
    </w:p>
    <w:p w14:paraId="779FF9EB">
      <w:pPr>
        <w:keepNext w:val="0"/>
        <w:keepLines w:val="0"/>
        <w:pageBreakBefore w:val="0"/>
        <w:kinsoku/>
        <w:wordWrap/>
        <w:autoSpaceDE/>
        <w:autoSpaceDN/>
        <w:bidi w:val="0"/>
        <w:adjustRightInd w:val="0"/>
        <w:snapToGrid w:val="0"/>
        <w:spacing w:line="540" w:lineRule="exact"/>
        <w:ind w:firstLine="564"/>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9-12名交叉赛：J-K，I-L，胜队决9、10名，负队决11、12名。</w:t>
      </w:r>
    </w:p>
    <w:p w14:paraId="4F43A6CE">
      <w:pPr>
        <w:keepNext w:val="0"/>
        <w:keepLines w:val="0"/>
        <w:pageBreakBefore w:val="0"/>
        <w:kinsoku/>
        <w:wordWrap/>
        <w:autoSpaceDE/>
        <w:autoSpaceDN/>
        <w:bidi w:val="0"/>
        <w:adjustRightInd w:val="0"/>
        <w:snapToGrid w:val="0"/>
        <w:spacing w:line="540" w:lineRule="exact"/>
        <w:ind w:firstLine="564"/>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4.24支（含）及以上队伍分八个组，先进行组内单循环赛，然后进行交叉淘汰附加赛。小组前二的16支队伍先进行交叉淘汰赛：A1-B2（胜队I，负队Q）、B1-A2（胜队J，负队R）、C1-D2（胜队K，负队S）、D1-C2（胜队L，负队T）、E1-F2（胜队M，负队U）、F1-E2（胜队N，负队V）、G1-H2（胜队O，负队W）、H1-G2（胜队P，负队X）。胜队争夺1-8名，负队争夺9-12名。</w:t>
      </w:r>
    </w:p>
    <w:p w14:paraId="7163161C">
      <w:pPr>
        <w:keepNext w:val="0"/>
        <w:keepLines w:val="0"/>
        <w:pageBreakBefore w:val="0"/>
        <w:kinsoku/>
        <w:wordWrap/>
        <w:autoSpaceDE/>
        <w:autoSpaceDN/>
        <w:bidi w:val="0"/>
        <w:adjustRightInd w:val="0"/>
        <w:snapToGrid w:val="0"/>
        <w:spacing w:line="540" w:lineRule="exact"/>
        <w:ind w:firstLine="564"/>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-8名交叉赛：I-P（胜队a，负队e）、J-O（胜队b，负队f）、K-N（胜队c，负队g）、L-M（胜队d，负队h），胜队交叉赛（a-d、b-c），胜者决1、2名，负者决3、4名，负队交叉赛（e-h、f-g），胜者决5、6名，负者决7、8名。</w:t>
      </w:r>
    </w:p>
    <w:p w14:paraId="015411E2">
      <w:pPr>
        <w:keepNext w:val="0"/>
        <w:keepLines w:val="0"/>
        <w:pageBreakBefore w:val="0"/>
        <w:kinsoku/>
        <w:wordWrap/>
        <w:autoSpaceDE/>
        <w:autoSpaceDN/>
        <w:bidi w:val="0"/>
        <w:adjustRightInd w:val="0"/>
        <w:snapToGrid w:val="0"/>
        <w:spacing w:line="540" w:lineRule="exact"/>
        <w:ind w:firstLine="564"/>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9-12名交叉赛：Q-X（胜队i）、R-W（胜队j）、S-V（胜队k）、T-U（胜队l），胜队交叉赛（i-l、j-k），胜者决9、10名，负者决11、12名。</w:t>
      </w:r>
    </w:p>
    <w:p w14:paraId="113EB930">
      <w:pPr>
        <w:keepNext w:val="0"/>
        <w:keepLines w:val="0"/>
        <w:pageBreakBefore w:val="0"/>
        <w:kinsoku/>
        <w:wordWrap/>
        <w:autoSpaceDE/>
        <w:autoSpaceDN/>
        <w:bidi w:val="0"/>
        <w:adjustRightInd w:val="0"/>
        <w:snapToGrid w:val="0"/>
        <w:spacing w:line="5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4.如遇同代表团参赛队分在同一个小组，则该代表团参赛队比赛安排在本小组第一轮进行。</w:t>
      </w:r>
    </w:p>
    <w:p w14:paraId="2E530EC0">
      <w:pPr>
        <w:keepNext w:val="0"/>
        <w:keepLines w:val="0"/>
        <w:pageBreakBefore w:val="0"/>
        <w:kinsoku/>
        <w:wordWrap/>
        <w:autoSpaceDE/>
        <w:autoSpaceDN/>
        <w:bidi w:val="0"/>
        <w:adjustRightInd w:val="0"/>
        <w:snapToGrid w:val="0"/>
        <w:spacing w:line="540" w:lineRule="exact"/>
        <w:ind w:firstLine="564"/>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（四）小组单循环赛排名方法：</w:t>
      </w:r>
    </w:p>
    <w:p w14:paraId="4369B673">
      <w:pPr>
        <w:keepNext w:val="0"/>
        <w:keepLines w:val="0"/>
        <w:pageBreakBefore w:val="0"/>
        <w:kinsoku/>
        <w:wordWrap/>
        <w:autoSpaceDE/>
        <w:autoSpaceDN/>
        <w:bidi w:val="0"/>
        <w:adjustRightInd w:val="0"/>
        <w:snapToGrid w:val="0"/>
        <w:spacing w:line="540" w:lineRule="exact"/>
        <w:ind w:firstLine="564"/>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1.各队根据小组单循环赛胜负记录排序名次，胜1场得2分；负1场得1分（包括比赛因缺少队员告负）；比赛因弃权告负得0分。</w:t>
      </w:r>
    </w:p>
    <w:p w14:paraId="4989420A">
      <w:pPr>
        <w:keepNext w:val="0"/>
        <w:keepLines w:val="0"/>
        <w:pageBreakBefore w:val="0"/>
        <w:kinsoku/>
        <w:wordWrap/>
        <w:autoSpaceDE/>
        <w:autoSpaceDN/>
        <w:bidi w:val="0"/>
        <w:adjustRightInd w:val="0"/>
        <w:snapToGrid w:val="0"/>
        <w:spacing w:line="540" w:lineRule="exact"/>
        <w:ind w:firstLine="564"/>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2.如组内2支或2支以上的参赛队积分相等，则按照下列原则依顺序排名：</w:t>
      </w:r>
    </w:p>
    <w:p w14:paraId="31B75D24">
      <w:pPr>
        <w:keepNext w:val="0"/>
        <w:keepLines w:val="0"/>
        <w:pageBreakBefore w:val="0"/>
        <w:kinsoku/>
        <w:wordWrap/>
        <w:autoSpaceDE/>
        <w:autoSpaceDN/>
        <w:bidi w:val="0"/>
        <w:adjustRightInd w:val="0"/>
        <w:snapToGrid w:val="0"/>
        <w:spacing w:line="540" w:lineRule="exact"/>
        <w:ind w:firstLine="564"/>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他们之间比赛的胜负记录；</w:t>
      </w:r>
    </w:p>
    <w:p w14:paraId="627CE9F2">
      <w:pPr>
        <w:keepNext w:val="0"/>
        <w:keepLines w:val="0"/>
        <w:pageBreakBefore w:val="0"/>
        <w:kinsoku/>
        <w:wordWrap/>
        <w:autoSpaceDE/>
        <w:autoSpaceDN/>
        <w:bidi w:val="0"/>
        <w:adjustRightInd w:val="0"/>
        <w:snapToGrid w:val="0"/>
        <w:spacing w:line="540" w:lineRule="exact"/>
        <w:ind w:firstLine="564"/>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他们之间比赛净胜分的多少；</w:t>
      </w:r>
    </w:p>
    <w:p w14:paraId="6D27C7C5">
      <w:pPr>
        <w:keepNext w:val="0"/>
        <w:keepLines w:val="0"/>
        <w:pageBreakBefore w:val="0"/>
        <w:kinsoku/>
        <w:wordWrap/>
        <w:autoSpaceDE/>
        <w:autoSpaceDN/>
        <w:bidi w:val="0"/>
        <w:adjustRightInd w:val="0"/>
        <w:snapToGrid w:val="0"/>
        <w:spacing w:line="540" w:lineRule="exact"/>
        <w:ind w:firstLine="564"/>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他们之间比赛得分的多少；</w:t>
      </w:r>
    </w:p>
    <w:p w14:paraId="2A27CF1F">
      <w:pPr>
        <w:keepNext w:val="0"/>
        <w:keepLines w:val="0"/>
        <w:pageBreakBefore w:val="0"/>
        <w:kinsoku/>
        <w:wordWrap/>
        <w:autoSpaceDE/>
        <w:autoSpaceDN/>
        <w:bidi w:val="0"/>
        <w:adjustRightInd w:val="0"/>
        <w:snapToGrid w:val="0"/>
        <w:spacing w:line="540" w:lineRule="exact"/>
        <w:ind w:firstLine="564"/>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组内所有比赛净胜分的多少；</w:t>
      </w:r>
    </w:p>
    <w:p w14:paraId="5441AA28">
      <w:pPr>
        <w:keepNext w:val="0"/>
        <w:keepLines w:val="0"/>
        <w:pageBreakBefore w:val="0"/>
        <w:kinsoku/>
        <w:wordWrap/>
        <w:autoSpaceDE/>
        <w:autoSpaceDN/>
        <w:bidi w:val="0"/>
        <w:adjustRightInd w:val="0"/>
        <w:snapToGrid w:val="0"/>
        <w:spacing w:line="540" w:lineRule="exact"/>
        <w:ind w:firstLine="564"/>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组内所有比赛得分的多少；</w:t>
      </w:r>
    </w:p>
    <w:p w14:paraId="7629AED3">
      <w:pPr>
        <w:keepNext w:val="0"/>
        <w:keepLines w:val="0"/>
        <w:pageBreakBefore w:val="0"/>
        <w:kinsoku/>
        <w:wordWrap/>
        <w:autoSpaceDE/>
        <w:autoSpaceDN/>
        <w:bidi w:val="0"/>
        <w:adjustRightInd w:val="0"/>
        <w:snapToGrid w:val="0"/>
        <w:spacing w:line="540" w:lineRule="exact"/>
        <w:ind w:firstLine="564"/>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如果在小组赛结束后采用这些原则仍无法决定，将用抽签进行最终名次排列，抽签办法另行规定。</w:t>
      </w:r>
    </w:p>
    <w:p w14:paraId="3824BCE1">
      <w:pPr>
        <w:keepNext w:val="0"/>
        <w:keepLines w:val="0"/>
        <w:pageBreakBefore w:val="0"/>
        <w:numPr>
          <w:ilvl w:val="0"/>
          <w:numId w:val="2"/>
        </w:numPr>
        <w:kinsoku/>
        <w:wordWrap/>
        <w:autoSpaceDE/>
        <w:autoSpaceDN/>
        <w:bidi w:val="0"/>
        <w:adjustRightInd w:val="0"/>
        <w:snapToGrid w:val="0"/>
        <w:spacing w:line="5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特定规则</w:t>
      </w:r>
    </w:p>
    <w:p w14:paraId="746ED0B0">
      <w:pPr>
        <w:keepNext w:val="0"/>
        <w:keepLines w:val="0"/>
        <w:pageBreakBefore w:val="0"/>
        <w:kinsoku/>
        <w:wordWrap/>
        <w:autoSpaceDE/>
        <w:autoSpaceDN/>
        <w:bidi w:val="0"/>
        <w:adjustRightInd w:val="0"/>
        <w:snapToGrid w:val="0"/>
        <w:spacing w:line="5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1.出场队员规定：</w:t>
      </w:r>
    </w:p>
    <w:p w14:paraId="5A48DEAE">
      <w:pPr>
        <w:keepNext w:val="0"/>
        <w:keepLines w:val="0"/>
        <w:pageBreakBefore w:val="0"/>
        <w:kinsoku/>
        <w:wordWrap/>
        <w:autoSpaceDE/>
        <w:autoSpaceDN/>
        <w:bidi w:val="0"/>
        <w:adjustRightInd w:val="0"/>
        <w:snapToGrid w:val="0"/>
        <w:spacing w:line="540" w:lineRule="exact"/>
        <w:ind w:firstLine="564"/>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1）丙、丁组每队出场运动员前两节需分为1、2两组，每组6（5）人，且两组人员不可重叠。1组队员参加第一节比赛、2组队员参加第二节比赛，后两节比赛不做限制。如未按此规则执行，则判该队为负，比分为0:20，积分为0分；如对阵两队均违反以上规定，则比分计为0:0，积分各为0分。 </w:t>
      </w:r>
    </w:p>
    <w:p w14:paraId="3893A509">
      <w:pPr>
        <w:keepNext w:val="0"/>
        <w:keepLines w:val="0"/>
        <w:pageBreakBefore w:val="0"/>
        <w:kinsoku/>
        <w:wordWrap/>
        <w:autoSpaceDE/>
        <w:autoSpaceDN/>
        <w:bidi w:val="0"/>
        <w:adjustRightInd w:val="0"/>
        <w:snapToGrid w:val="0"/>
        <w:spacing w:line="540" w:lineRule="exact"/>
        <w:ind w:firstLine="564"/>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（2）丙、丁组前两节比赛由于犯满出局、伤病等原因，导致符合该节上场比赛资格的球员不足5人时，则以该节比赛组的实际剩余人数进行该节比赛，不足2人时，则按规则“比赛因缺少队员告负”条款执行。</w:t>
      </w:r>
    </w:p>
    <w:p w14:paraId="132F0C5C">
      <w:pPr>
        <w:keepNext w:val="0"/>
        <w:keepLines w:val="0"/>
        <w:pageBreakBefore w:val="0"/>
        <w:widowControl/>
        <w:numPr>
          <w:ilvl w:val="255"/>
          <w:numId w:val="0"/>
        </w:numPr>
        <w:kinsoku/>
        <w:wordWrap/>
        <w:autoSpaceDE/>
        <w:autoSpaceDN/>
        <w:bidi w:val="0"/>
        <w:adjustRightInd w:val="0"/>
        <w:snapToGrid w:val="0"/>
        <w:spacing w:line="540" w:lineRule="exact"/>
        <w:ind w:firstLine="564"/>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（3）各组别各队市内交流运动员上场比赛人数不超过1名，如有违反，则判罚违反队一次技术犯规。</w:t>
      </w:r>
    </w:p>
    <w:p w14:paraId="23337385">
      <w:pPr>
        <w:keepNext w:val="0"/>
        <w:keepLines w:val="0"/>
        <w:pageBreakBefore w:val="0"/>
        <w:kinsoku/>
        <w:wordWrap/>
        <w:autoSpaceDE/>
        <w:autoSpaceDN/>
        <w:bidi w:val="0"/>
        <w:adjustRightInd w:val="0"/>
        <w:snapToGrid w:val="0"/>
        <w:spacing w:line="540" w:lineRule="exac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sz w:val="28"/>
          <w:szCs w:val="28"/>
          <w:highlight w:val="none"/>
        </w:rPr>
        <w:t>2.丁组</w:t>
      </w:r>
      <w:r>
        <w:rPr>
          <w:rFonts w:ascii="仿宋" w:hAnsi="仿宋" w:eastAsia="仿宋" w:cs="仿宋"/>
          <w:color w:val="000000"/>
          <w:sz w:val="28"/>
          <w:szCs w:val="28"/>
          <w:highlight w:val="none"/>
          <w:lang w:eastAsia="zh-Hans"/>
        </w:rPr>
        <w:t>比赛时间</w:t>
      </w:r>
      <w:r>
        <w:rPr>
          <w:rFonts w:hint="eastAsia" w:ascii="仿宋" w:hAnsi="仿宋" w:eastAsia="仿宋" w:cs="仿宋"/>
          <w:color w:val="000000"/>
          <w:sz w:val="28"/>
          <w:szCs w:val="28"/>
          <w:highlight w:val="none"/>
        </w:rPr>
        <w:t xml:space="preserve">：4节×8分钟，按照《篮球规则》有关比赛时间的规定停表。 </w:t>
      </w:r>
    </w:p>
    <w:p w14:paraId="3DAD5D96">
      <w:pPr>
        <w:keepNext w:val="0"/>
        <w:keepLines w:val="0"/>
        <w:pageBreakBefore w:val="0"/>
        <w:numPr>
          <w:ilvl w:val="0"/>
          <w:numId w:val="2"/>
        </w:numPr>
        <w:kinsoku/>
        <w:wordWrap/>
        <w:autoSpaceDE/>
        <w:autoSpaceDN/>
        <w:bidi w:val="0"/>
        <w:adjustRightInd w:val="0"/>
        <w:snapToGrid w:val="0"/>
        <w:spacing w:line="5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球衣与装备</w:t>
      </w:r>
    </w:p>
    <w:p w14:paraId="3EEC1996">
      <w:pPr>
        <w:keepNext w:val="0"/>
        <w:keepLines w:val="0"/>
        <w:pageBreakBefore w:val="0"/>
        <w:kinsoku/>
        <w:wordWrap/>
        <w:autoSpaceDE/>
        <w:autoSpaceDN/>
        <w:bidi w:val="0"/>
        <w:adjustRightInd w:val="0"/>
        <w:snapToGrid w:val="0"/>
        <w:spacing w:line="5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w:t>
      </w:r>
      <w:r>
        <w:rPr>
          <w:rFonts w:ascii="仿宋" w:hAnsi="仿宋" w:eastAsia="仿宋" w:cs="仿宋"/>
          <w:sz w:val="28"/>
          <w:szCs w:val="28"/>
          <w:highlight w:val="none"/>
        </w:rPr>
        <w:t>主队穿浅色球衣，客队穿深色球衣。如需调换队服颜色需由本队在赛前一天与对方沟通确认，各队应在每场赛前都备好两套球衣。</w:t>
      </w:r>
    </w:p>
    <w:p w14:paraId="029E5E05">
      <w:pPr>
        <w:keepNext w:val="0"/>
        <w:keepLines w:val="0"/>
        <w:pageBreakBefore w:val="0"/>
        <w:kinsoku/>
        <w:wordWrap/>
        <w:autoSpaceDE/>
        <w:autoSpaceDN/>
        <w:bidi w:val="0"/>
        <w:adjustRightInd w:val="0"/>
        <w:snapToGrid w:val="0"/>
        <w:spacing w:line="5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w:t>
      </w:r>
      <w:r>
        <w:rPr>
          <w:rFonts w:ascii="仿宋" w:hAnsi="仿宋" w:eastAsia="仿宋" w:cs="仿宋"/>
          <w:sz w:val="28"/>
          <w:szCs w:val="28"/>
          <w:highlight w:val="none"/>
        </w:rPr>
        <w:t>运动员须穿着与秩序册一致的号码上场比赛（包含上衣、短裤），上衣前后必须有明显的号码。如有违反，按照违反参赛资格要求予以处理。</w:t>
      </w:r>
    </w:p>
    <w:p w14:paraId="1089A715">
      <w:pPr>
        <w:keepNext w:val="0"/>
        <w:keepLines w:val="0"/>
        <w:pageBreakBefore w:val="0"/>
        <w:kinsoku/>
        <w:wordWrap/>
        <w:autoSpaceDE/>
        <w:autoSpaceDN/>
        <w:bidi w:val="0"/>
        <w:adjustRightInd w:val="0"/>
        <w:snapToGrid w:val="0"/>
        <w:spacing w:line="5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3.</w:t>
      </w:r>
      <w:r>
        <w:rPr>
          <w:rFonts w:ascii="仿宋" w:hAnsi="仿宋" w:eastAsia="仿宋" w:cs="仿宋"/>
          <w:sz w:val="28"/>
          <w:szCs w:val="28"/>
          <w:highlight w:val="none"/>
        </w:rPr>
        <w:t>允许穿着紧身衣裤上场比赛，色系须全队统一。</w:t>
      </w:r>
    </w:p>
    <w:p w14:paraId="0BDB8C21">
      <w:pPr>
        <w:keepNext w:val="0"/>
        <w:keepLines w:val="0"/>
        <w:pageBreakBefore w:val="0"/>
        <w:kinsoku/>
        <w:wordWrap/>
        <w:autoSpaceDE/>
        <w:autoSpaceDN/>
        <w:bidi w:val="0"/>
        <w:adjustRightInd w:val="0"/>
        <w:snapToGrid w:val="0"/>
        <w:spacing w:line="5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4.</w:t>
      </w:r>
      <w:r>
        <w:rPr>
          <w:rFonts w:ascii="仿宋" w:hAnsi="仿宋" w:eastAsia="仿宋" w:cs="仿宋"/>
          <w:sz w:val="28"/>
          <w:szCs w:val="28"/>
          <w:highlight w:val="none"/>
        </w:rPr>
        <w:t>球员不得穿着或佩戴任何有可能造成其他球员受伤的物品。</w:t>
      </w:r>
    </w:p>
    <w:p w14:paraId="009B7AA6">
      <w:pPr>
        <w:keepNext w:val="0"/>
        <w:keepLines w:val="0"/>
        <w:pageBreakBefore w:val="0"/>
        <w:kinsoku/>
        <w:wordWrap/>
        <w:autoSpaceDE/>
        <w:autoSpaceDN/>
        <w:bidi w:val="0"/>
        <w:adjustRightInd w:val="0"/>
        <w:snapToGrid w:val="0"/>
        <w:spacing w:line="540" w:lineRule="exact"/>
        <w:ind w:firstLine="564"/>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5.运动员须正确穿着符合规定的印有正确报名号码的球衣上场比赛（包含上衣、短裤），如有违反，按照违反参赛资格要求予以处理。</w:t>
      </w:r>
    </w:p>
    <w:p w14:paraId="67BCEFAB">
      <w:pPr>
        <w:keepNext w:val="0"/>
        <w:keepLines w:val="0"/>
        <w:pageBreakBefore w:val="0"/>
        <w:kinsoku/>
        <w:wordWrap/>
        <w:autoSpaceDE/>
        <w:autoSpaceDN/>
        <w:bidi w:val="0"/>
        <w:adjustRightInd w:val="0"/>
        <w:snapToGrid w:val="0"/>
        <w:spacing w:line="540" w:lineRule="exact"/>
        <w:ind w:firstLine="564"/>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（七）比赛用球</w:t>
      </w:r>
    </w:p>
    <w:p w14:paraId="56436A42">
      <w:pPr>
        <w:keepNext w:val="0"/>
        <w:keepLines w:val="0"/>
        <w:pageBreakBefore w:val="0"/>
        <w:kinsoku/>
        <w:wordWrap/>
        <w:autoSpaceDE/>
        <w:autoSpaceDN/>
        <w:bidi w:val="0"/>
        <w:adjustRightInd w:val="0"/>
        <w:snapToGrid w:val="0"/>
        <w:spacing w:line="540" w:lineRule="exact"/>
        <w:ind w:firstLine="564"/>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本次比赛指定用球：上海兰华牌篮球。男子甲、乙、丙组使用7号球</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L9000Pro</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；女子甲、乙、丙组使用6号球</w:t>
      </w:r>
      <w:r>
        <w:rPr>
          <w:rFonts w:hint="eastAsia" w:ascii="仿宋" w:hAnsi="仿宋" w:eastAsia="仿宋" w:cs="仿宋"/>
          <w:sz w:val="28"/>
          <w:szCs w:val="28"/>
          <w:highlight w:val="none"/>
          <w:lang w:eastAsia="zh-CN"/>
        </w:rPr>
        <w:t>（L602Pro）</w:t>
      </w:r>
      <w:r>
        <w:rPr>
          <w:rFonts w:hint="eastAsia" w:ascii="仿宋" w:hAnsi="仿宋" w:eastAsia="仿宋" w:cs="仿宋"/>
          <w:sz w:val="28"/>
          <w:szCs w:val="28"/>
          <w:highlight w:val="none"/>
        </w:rPr>
        <w:t>；男、女丁组使用5号球</w:t>
      </w:r>
      <w:r>
        <w:rPr>
          <w:rFonts w:hint="eastAsia" w:ascii="仿宋" w:hAnsi="仿宋" w:eastAsia="仿宋" w:cs="仿宋"/>
          <w:sz w:val="28"/>
          <w:szCs w:val="28"/>
          <w:highlight w:val="none"/>
          <w:lang w:eastAsia="zh-CN"/>
        </w:rPr>
        <w:t>（L502Pro）</w:t>
      </w:r>
      <w:bookmarkStart w:id="1" w:name="_GoBack"/>
      <w:bookmarkEnd w:id="1"/>
      <w:r>
        <w:rPr>
          <w:rFonts w:hint="eastAsia" w:ascii="仿宋" w:hAnsi="仿宋" w:eastAsia="仿宋" w:cs="仿宋"/>
          <w:sz w:val="28"/>
          <w:szCs w:val="28"/>
          <w:highlight w:val="none"/>
        </w:rPr>
        <w:t>。</w:t>
      </w:r>
    </w:p>
    <w:p w14:paraId="735043EF">
      <w:pPr>
        <w:keepNext w:val="0"/>
        <w:keepLines w:val="0"/>
        <w:pageBreakBefore w:val="0"/>
        <w:kinsoku/>
        <w:wordWrap/>
        <w:autoSpaceDE/>
        <w:autoSpaceDN/>
        <w:bidi w:val="0"/>
        <w:spacing w:line="5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（八）各组别参赛队数少于2个参赛单位3队，则取消该组别比赛。</w:t>
      </w:r>
    </w:p>
    <w:p w14:paraId="694B1F7C">
      <w:pPr>
        <w:keepNext w:val="0"/>
        <w:keepLines w:val="0"/>
        <w:pageBreakBefore w:val="0"/>
        <w:kinsoku/>
        <w:wordWrap/>
        <w:autoSpaceDE/>
        <w:autoSpaceDN/>
        <w:bidi w:val="0"/>
        <w:adjustRightInd w:val="0"/>
        <w:snapToGrid w:val="0"/>
        <w:spacing w:line="540" w:lineRule="exact"/>
        <w:ind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十一、录取名次、计牌计分和奖励办法</w:t>
      </w:r>
    </w:p>
    <w:p w14:paraId="0203B509">
      <w:pPr>
        <w:keepNext w:val="0"/>
        <w:keepLines w:val="0"/>
        <w:pageBreakBefore w:val="0"/>
        <w:kinsoku/>
        <w:wordWrap/>
        <w:autoSpaceDE/>
        <w:autoSpaceDN/>
        <w:bidi w:val="0"/>
        <w:adjustRightInd w:val="0"/>
        <w:snapToGrid w:val="0"/>
        <w:spacing w:line="5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（一）各组别</w:t>
      </w:r>
      <w:r>
        <w:rPr>
          <w:rFonts w:hint="eastAsia" w:ascii="仿宋" w:hAnsi="仿宋" w:eastAsia="仿宋" w:cs="仿宋"/>
          <w:bCs/>
          <w:sz w:val="28"/>
          <w:szCs w:val="28"/>
          <w:highlight w:val="none"/>
        </w:rPr>
        <w:t>录取前12名，不足12队参赛的，则按实际参赛队数录取名次。</w:t>
      </w:r>
    </w:p>
    <w:p w14:paraId="6344DDB4">
      <w:pPr>
        <w:keepNext w:val="0"/>
        <w:keepLines w:val="0"/>
        <w:pageBreakBefore w:val="0"/>
        <w:kinsoku/>
        <w:wordWrap/>
        <w:autoSpaceDE/>
        <w:autoSpaceDN/>
        <w:bidi w:val="0"/>
        <w:adjustRightInd w:val="0"/>
        <w:snapToGrid w:val="0"/>
        <w:spacing w:line="540" w:lineRule="exact"/>
        <w:ind w:firstLine="560" w:firstLineChars="200"/>
        <w:textAlignment w:val="auto"/>
        <w:rPr>
          <w:rFonts w:hint="eastAsia" w:ascii="仿宋" w:hAnsi="仿宋" w:eastAsia="仿宋" w:cs="仿宋"/>
          <w:bCs/>
          <w:spacing w:val="-4"/>
          <w:sz w:val="28"/>
          <w:szCs w:val="28"/>
          <w:highlight w:val="none"/>
        </w:rPr>
      </w:pPr>
      <w:r>
        <w:rPr>
          <w:rFonts w:hint="eastAsia" w:ascii="仿宋" w:hAnsi="仿宋" w:eastAsia="仿宋" w:cs="仿宋"/>
          <w:sz w:val="28"/>
          <w:szCs w:val="28"/>
          <w:highlight w:val="none"/>
        </w:rPr>
        <w:t>（二）</w:t>
      </w:r>
      <w:r>
        <w:rPr>
          <w:rFonts w:hint="eastAsia" w:ascii="仿宋" w:hAnsi="仿宋" w:eastAsia="仿宋" w:cs="仿宋"/>
          <w:bCs/>
          <w:sz w:val="28"/>
          <w:szCs w:val="28"/>
          <w:highlight w:val="none"/>
        </w:rPr>
        <w:t>有12队以上（含12队）参赛的，前4名依次按5金、3金、2金、1金计牌，前12名依次按55、45、40、35、30、25、20、15、12、9、6、3计分；有3至11队参赛的，前4名依次按4金、2</w:t>
      </w:r>
      <w:r>
        <w:rPr>
          <w:rFonts w:hint="eastAsia" w:ascii="仿宋" w:hAnsi="仿宋" w:eastAsia="仿宋" w:cs="仿宋"/>
          <w:bCs/>
          <w:spacing w:val="-4"/>
          <w:sz w:val="28"/>
          <w:szCs w:val="28"/>
          <w:highlight w:val="none"/>
        </w:rPr>
        <w:t>金、</w:t>
      </w:r>
      <w:r>
        <w:rPr>
          <w:rFonts w:hint="eastAsia" w:ascii="仿宋" w:hAnsi="仿宋" w:eastAsia="仿宋" w:cs="仿宋"/>
          <w:bCs/>
          <w:sz w:val="28"/>
          <w:szCs w:val="28"/>
          <w:highlight w:val="none"/>
        </w:rPr>
        <w:t>1</w:t>
      </w:r>
      <w:r>
        <w:rPr>
          <w:rFonts w:hint="eastAsia" w:ascii="仿宋" w:hAnsi="仿宋" w:eastAsia="仿宋" w:cs="仿宋"/>
          <w:bCs/>
          <w:spacing w:val="-4"/>
          <w:sz w:val="28"/>
          <w:szCs w:val="28"/>
          <w:highlight w:val="none"/>
        </w:rPr>
        <w:t>金、0.5金计牌，前</w:t>
      </w:r>
      <w:r>
        <w:rPr>
          <w:rFonts w:hint="eastAsia" w:ascii="仿宋" w:hAnsi="仿宋" w:eastAsia="仿宋" w:cs="仿宋"/>
          <w:bCs/>
          <w:sz w:val="28"/>
          <w:szCs w:val="28"/>
          <w:highlight w:val="none"/>
        </w:rPr>
        <w:t>11</w:t>
      </w:r>
      <w:r>
        <w:rPr>
          <w:rFonts w:hint="eastAsia" w:ascii="仿宋" w:hAnsi="仿宋" w:eastAsia="仿宋" w:cs="仿宋"/>
          <w:bCs/>
          <w:spacing w:val="-4"/>
          <w:sz w:val="28"/>
          <w:szCs w:val="28"/>
          <w:highlight w:val="none"/>
        </w:rPr>
        <w:t>名依次按</w:t>
      </w:r>
      <w:r>
        <w:rPr>
          <w:rFonts w:hint="eastAsia" w:ascii="仿宋" w:hAnsi="仿宋" w:eastAsia="仿宋" w:cs="仿宋"/>
          <w:bCs/>
          <w:sz w:val="28"/>
          <w:szCs w:val="28"/>
          <w:highlight w:val="none"/>
        </w:rPr>
        <w:t>44</w:t>
      </w:r>
      <w:r>
        <w:rPr>
          <w:rFonts w:hint="eastAsia" w:ascii="仿宋" w:hAnsi="仿宋" w:eastAsia="仿宋" w:cs="仿宋"/>
          <w:bCs/>
          <w:spacing w:val="-4"/>
          <w:sz w:val="28"/>
          <w:szCs w:val="28"/>
          <w:highlight w:val="none"/>
        </w:rPr>
        <w:t>、36、32、28、24、20、16、12、8、4、2计分。</w:t>
      </w:r>
    </w:p>
    <w:p w14:paraId="63FA2E83">
      <w:pPr>
        <w:keepNext w:val="0"/>
        <w:keepLines w:val="0"/>
        <w:pageBreakBefore w:val="0"/>
        <w:kinsoku/>
        <w:wordWrap/>
        <w:autoSpaceDE/>
        <w:autoSpaceDN/>
        <w:bidi w:val="0"/>
        <w:spacing w:line="5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（三）开展“体育道德风尚奖”评选活动，按照本届运动会竞赛规程总则的有关规定执行。</w:t>
      </w:r>
    </w:p>
    <w:p w14:paraId="0FD74C8E">
      <w:pPr>
        <w:keepNext w:val="0"/>
        <w:keepLines w:val="0"/>
        <w:pageBreakBefore w:val="0"/>
        <w:kinsoku/>
        <w:wordWrap/>
        <w:autoSpaceDE/>
        <w:autoSpaceDN/>
        <w:bidi w:val="0"/>
        <w:adjustRightInd w:val="0"/>
        <w:snapToGrid w:val="0"/>
        <w:spacing w:line="540" w:lineRule="exact"/>
        <w:ind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十二、申诉和纪律</w:t>
      </w:r>
    </w:p>
    <w:p w14:paraId="1BEC4EAA">
      <w:pPr>
        <w:keepNext w:val="0"/>
        <w:keepLines w:val="0"/>
        <w:pageBreakBefore w:val="0"/>
        <w:kinsoku/>
        <w:wordWrap/>
        <w:autoSpaceDE/>
        <w:autoSpaceDN/>
        <w:bidi w:val="0"/>
        <w:adjustRightInd w:val="0"/>
        <w:snapToGrid w:val="0"/>
        <w:spacing w:line="5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一</w:t>
      </w:r>
      <w:r>
        <w:rPr>
          <w:rFonts w:hint="eastAsia" w:ascii="仿宋" w:hAnsi="仿宋" w:eastAsia="仿宋" w:cs="仿宋"/>
          <w:sz w:val="28"/>
          <w:szCs w:val="28"/>
          <w:highlight w:val="none"/>
        </w:rPr>
        <w:t>）参照中国篮球协会最新审定发布的《篮球规则》执行。</w:t>
      </w:r>
    </w:p>
    <w:p w14:paraId="5DF934D5">
      <w:pPr>
        <w:keepNext w:val="0"/>
        <w:keepLines w:val="0"/>
        <w:pageBreakBefore w:val="0"/>
        <w:numPr>
          <w:ilvl w:val="-1"/>
          <w:numId w:val="0"/>
        </w:numPr>
        <w:kinsoku/>
        <w:wordWrap/>
        <w:autoSpaceDE/>
        <w:autoSpaceDN/>
        <w:bidi w:val="0"/>
        <w:adjustRightInd w:val="0"/>
        <w:snapToGrid w:val="0"/>
        <w:spacing w:line="54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（二）纪律</w:t>
      </w:r>
    </w:p>
    <w:p w14:paraId="50BD8AB9">
      <w:pPr>
        <w:keepNext w:val="0"/>
        <w:keepLines w:val="0"/>
        <w:pageBreakBefore w:val="0"/>
        <w:numPr>
          <w:ilvl w:val="-1"/>
          <w:numId w:val="0"/>
        </w:numPr>
        <w:kinsoku/>
        <w:wordWrap/>
        <w:autoSpaceDE/>
        <w:autoSpaceDN/>
        <w:bidi w:val="0"/>
        <w:adjustRightInd w:val="0"/>
        <w:snapToGrid w:val="0"/>
        <w:spacing w:line="54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对运动员、教练员、裁判员和体育赛事组织者违反本届运动会赛风赛纪情形，一经查实，按照《上海市体育赛事活动赛风赛纪管理实施细则》及市运会组委会有关规定处罚。对发生任何兴奋剂违规事件的，按照国家体育总局、上海市体育局反兴奋剂相关规定进行处罚。</w:t>
      </w:r>
    </w:p>
    <w:p w14:paraId="6D775057">
      <w:pPr>
        <w:keepNext w:val="0"/>
        <w:keepLines w:val="0"/>
        <w:pageBreakBefore w:val="0"/>
        <w:kinsoku/>
        <w:wordWrap/>
        <w:autoSpaceDE/>
        <w:autoSpaceDN/>
        <w:bidi w:val="0"/>
        <w:adjustRightInd w:val="0"/>
        <w:snapToGrid w:val="0"/>
        <w:spacing w:line="540" w:lineRule="exact"/>
        <w:ind w:firstLine="560" w:firstLineChars="200"/>
        <w:textAlignment w:val="auto"/>
        <w:rPr>
          <w:rFonts w:hint="eastAsia" w:ascii="仿宋" w:hAnsi="仿宋" w:eastAsia="仿宋" w:cs="仿宋"/>
          <w:sz w:val="28"/>
          <w:szCs w:val="28"/>
          <w:highlight w:val="none"/>
        </w:rPr>
      </w:pPr>
    </w:p>
    <w:p w14:paraId="21D5862D">
      <w:pPr>
        <w:keepNext w:val="0"/>
        <w:keepLines w:val="0"/>
        <w:pageBreakBefore w:val="0"/>
        <w:kinsoku/>
        <w:wordWrap/>
        <w:autoSpaceDE/>
        <w:autoSpaceDN/>
        <w:bidi w:val="0"/>
        <w:adjustRightInd w:val="0"/>
        <w:snapToGrid w:val="0"/>
        <w:spacing w:line="540" w:lineRule="exact"/>
        <w:ind w:firstLine="560" w:firstLineChars="200"/>
        <w:textAlignment w:val="auto"/>
        <w:rPr>
          <w:rFonts w:hint="eastAsia" w:ascii="仿宋" w:hAnsi="仿宋" w:eastAsia="仿宋" w:cs="仿宋"/>
          <w:b/>
          <w:bCs/>
          <w:sz w:val="28"/>
          <w:szCs w:val="28"/>
          <w:highlight w:val="none"/>
        </w:rPr>
      </w:pPr>
      <w:r>
        <w:rPr>
          <w:rFonts w:hint="eastAsia" w:ascii="仿宋" w:hAnsi="仿宋" w:eastAsia="仿宋" w:cs="仿宋"/>
          <w:sz w:val="28"/>
          <w:szCs w:val="28"/>
        </w:rPr>
        <w:t>（三）本次比赛兴奋剂检查和处罚按照上海市体育局有关规定执行。</w:t>
      </w:r>
    </w:p>
    <w:p w14:paraId="53928C26">
      <w:pPr>
        <w:keepNext w:val="0"/>
        <w:keepLines w:val="0"/>
        <w:pageBreakBefore w:val="0"/>
        <w:kinsoku/>
        <w:wordWrap/>
        <w:autoSpaceDE/>
        <w:autoSpaceDN/>
        <w:bidi w:val="0"/>
        <w:adjustRightInd w:val="0"/>
        <w:snapToGrid w:val="0"/>
        <w:spacing w:line="540" w:lineRule="exact"/>
        <w:ind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十三、技术官员</w:t>
      </w:r>
    </w:p>
    <w:p w14:paraId="38177714">
      <w:pPr>
        <w:keepNext w:val="0"/>
        <w:keepLines w:val="0"/>
        <w:pageBreakBefore w:val="0"/>
        <w:kinsoku/>
        <w:wordWrap/>
        <w:autoSpaceDE/>
        <w:autoSpaceDN/>
        <w:bidi w:val="0"/>
        <w:spacing w:line="5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按照本届运动会竞赛规程总则的有关规定执行。</w:t>
      </w:r>
    </w:p>
    <w:p w14:paraId="717DF3E6">
      <w:pPr>
        <w:keepNext w:val="0"/>
        <w:keepLines w:val="0"/>
        <w:pageBreakBefore w:val="0"/>
        <w:kinsoku/>
        <w:wordWrap/>
        <w:autoSpaceDE/>
        <w:autoSpaceDN/>
        <w:bidi w:val="0"/>
        <w:adjustRightInd w:val="0"/>
        <w:snapToGrid w:val="0"/>
        <w:spacing w:line="540" w:lineRule="exact"/>
        <w:ind w:firstLine="562" w:firstLineChars="200"/>
        <w:textAlignment w:val="auto"/>
        <w:rPr>
          <w:rFonts w:hint="eastAsia" w:ascii="仿宋" w:hAnsi="仿宋" w:eastAsia="仿宋" w:cs="仿宋"/>
          <w:b/>
          <w:sz w:val="28"/>
          <w:szCs w:val="28"/>
          <w:highlight w:val="none"/>
        </w:rPr>
      </w:pPr>
      <w:r>
        <w:rPr>
          <w:rFonts w:hint="eastAsia" w:ascii="仿宋" w:hAnsi="仿宋" w:eastAsia="仿宋" w:cs="仿宋"/>
          <w:b/>
          <w:sz w:val="28"/>
          <w:szCs w:val="28"/>
          <w:highlight w:val="none"/>
        </w:rPr>
        <w:t>十四、运动员技术等级授予</w:t>
      </w:r>
    </w:p>
    <w:p w14:paraId="0802B3AC">
      <w:pPr>
        <w:keepNext w:val="0"/>
        <w:keepLines w:val="0"/>
        <w:pageBreakBefore w:val="0"/>
        <w:kinsoku/>
        <w:wordWrap/>
        <w:autoSpaceDE/>
        <w:autoSpaceDN/>
        <w:bidi w:val="0"/>
        <w:adjustRightInd w:val="0"/>
        <w:snapToGrid w:val="0"/>
        <w:spacing w:line="540" w:lineRule="exact"/>
        <w:ind w:firstLine="560" w:firstLineChars="200"/>
        <w:textAlignment w:val="auto"/>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本次比赛为2026年国家体育总局公布的可授予运动员技术等级称号赛事，本次比赛甲、乙组为可授予运动员技术等级的组别，具体标准按国家体育总局最新发布的《篮球项目运动员技术等级标准》执行。</w:t>
      </w:r>
    </w:p>
    <w:p w14:paraId="5CE1E6AC">
      <w:pPr>
        <w:keepNext w:val="0"/>
        <w:keepLines w:val="0"/>
        <w:pageBreakBefore w:val="0"/>
        <w:kinsoku/>
        <w:wordWrap/>
        <w:autoSpaceDE/>
        <w:autoSpaceDN/>
        <w:bidi w:val="0"/>
        <w:adjustRightInd w:val="0"/>
        <w:snapToGrid w:val="0"/>
        <w:spacing w:line="540" w:lineRule="exact"/>
        <w:ind w:firstLine="562" w:firstLineChars="200"/>
        <w:textAlignment w:val="auto"/>
        <w:rPr>
          <w:rFonts w:hint="eastAsia" w:ascii="仿宋" w:hAnsi="仿宋" w:eastAsia="仿宋" w:cs="仿宋"/>
          <w:b/>
          <w:sz w:val="28"/>
          <w:szCs w:val="28"/>
          <w:highlight w:val="none"/>
        </w:rPr>
      </w:pPr>
      <w:r>
        <w:rPr>
          <w:rFonts w:hint="eastAsia" w:ascii="仿宋" w:hAnsi="仿宋" w:eastAsia="仿宋" w:cs="仿宋"/>
          <w:b/>
          <w:sz w:val="28"/>
          <w:szCs w:val="28"/>
          <w:highlight w:val="none"/>
        </w:rPr>
        <w:t>十五、其他</w:t>
      </w:r>
    </w:p>
    <w:p w14:paraId="615B46E6">
      <w:pPr>
        <w:keepNext w:val="0"/>
        <w:keepLines w:val="0"/>
        <w:pageBreakBefore w:val="0"/>
        <w:kinsoku/>
        <w:wordWrap/>
        <w:autoSpaceDE/>
        <w:autoSpaceDN/>
        <w:bidi w:val="0"/>
        <w:adjustRightInd w:val="0"/>
        <w:snapToGrid w:val="0"/>
        <w:spacing w:line="540" w:lineRule="exac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（一）如本规程内容与本届运动会竞赛规程总则或上海市体育局相关规定发生冲突，则以本届运动会总则或上海市体育局规定为准。</w:t>
      </w:r>
    </w:p>
    <w:p w14:paraId="05BBCD69">
      <w:pPr>
        <w:keepNext w:val="0"/>
        <w:keepLines w:val="0"/>
        <w:pageBreakBefore w:val="0"/>
        <w:kinsoku/>
        <w:wordWrap/>
        <w:autoSpaceDE/>
        <w:autoSpaceDN/>
        <w:bidi w:val="0"/>
        <w:adjustRightInd w:val="0"/>
        <w:snapToGrid w:val="0"/>
        <w:spacing w:line="540" w:lineRule="exact"/>
        <w:ind w:firstLine="560" w:firstLineChars="200"/>
        <w:textAlignment w:val="auto"/>
        <w:rPr>
          <w:rFonts w:hint="eastAsia" w:ascii="仿宋" w:hAnsi="仿宋" w:eastAsia="仿宋" w:cs="仿宋"/>
          <w:color w:val="000000"/>
          <w:sz w:val="28"/>
          <w:szCs w:val="28"/>
          <w:highlight w:val="none"/>
        </w:rPr>
      </w:pPr>
      <w:bookmarkStart w:id="0" w:name="_Hlk162361054"/>
      <w:r>
        <w:rPr>
          <w:rFonts w:hint="eastAsia" w:ascii="仿宋" w:hAnsi="仿宋" w:eastAsia="仿宋" w:cs="仿宋"/>
          <w:color w:val="000000"/>
          <w:sz w:val="28"/>
          <w:szCs w:val="28"/>
          <w:highlight w:val="none"/>
        </w:rPr>
        <w:t>（二）参赛单位运动员、教练员应知晓体育竞赛的相关风险，确保自己身体状况符合参赛要求，自行承担非承办单位故意或重大过失导致的伤害。</w:t>
      </w:r>
      <w:bookmarkEnd w:id="0"/>
    </w:p>
    <w:p w14:paraId="10C3DF2F">
      <w:pPr>
        <w:keepNext w:val="0"/>
        <w:keepLines w:val="0"/>
        <w:pageBreakBefore w:val="0"/>
        <w:kinsoku/>
        <w:wordWrap/>
        <w:autoSpaceDE/>
        <w:autoSpaceDN/>
        <w:bidi w:val="0"/>
        <w:spacing w:line="5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color w:val="000000"/>
          <w:sz w:val="28"/>
          <w:szCs w:val="28"/>
          <w:highlight w:val="none"/>
        </w:rPr>
        <w:t>（三）未尽事宜，另行通知。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7BA610">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312B4A">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7312B4A">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A19680"/>
    <w:multiLevelType w:val="singleLevel"/>
    <w:tmpl w:val="F1A19680"/>
    <w:lvl w:ilvl="0" w:tentative="0">
      <w:start w:val="1"/>
      <w:numFmt w:val="chineseCounting"/>
      <w:suff w:val="nothing"/>
      <w:lvlText w:val="%1、"/>
      <w:lvlJc w:val="left"/>
      <w:rPr>
        <w:rFonts w:hint="eastAsia"/>
        <w:b/>
        <w:bCs/>
      </w:rPr>
    </w:lvl>
  </w:abstractNum>
  <w:abstractNum w:abstractNumId="1">
    <w:nsid w:val="1497B2D3"/>
    <w:multiLevelType w:val="singleLevel"/>
    <w:tmpl w:val="1497B2D3"/>
    <w:lvl w:ilvl="0" w:tentative="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329A"/>
    <w:rsid w:val="001B0DFD"/>
    <w:rsid w:val="004531A0"/>
    <w:rsid w:val="00625D87"/>
    <w:rsid w:val="00817AC7"/>
    <w:rsid w:val="00BF787A"/>
    <w:rsid w:val="00D8329A"/>
    <w:rsid w:val="02247D00"/>
    <w:rsid w:val="025D3C0E"/>
    <w:rsid w:val="08F301FA"/>
    <w:rsid w:val="0BAF1538"/>
    <w:rsid w:val="169F00AC"/>
    <w:rsid w:val="194E2DBA"/>
    <w:rsid w:val="1DF47EFC"/>
    <w:rsid w:val="22E42C35"/>
    <w:rsid w:val="2BBE1E54"/>
    <w:rsid w:val="36437B99"/>
    <w:rsid w:val="383B2EA0"/>
    <w:rsid w:val="3BE70C49"/>
    <w:rsid w:val="3EF424C3"/>
    <w:rsid w:val="49B862F3"/>
    <w:rsid w:val="4F2925A8"/>
    <w:rsid w:val="4F402C5D"/>
    <w:rsid w:val="509667A6"/>
    <w:rsid w:val="53D629B9"/>
    <w:rsid w:val="545804DE"/>
    <w:rsid w:val="548E549D"/>
    <w:rsid w:val="558A5663"/>
    <w:rsid w:val="56E60023"/>
    <w:rsid w:val="5A0605D7"/>
    <w:rsid w:val="5C225659"/>
    <w:rsid w:val="5EFB5396"/>
    <w:rsid w:val="6051421F"/>
    <w:rsid w:val="60EB5790"/>
    <w:rsid w:val="623F161F"/>
    <w:rsid w:val="63972DD1"/>
    <w:rsid w:val="6F3A09FF"/>
    <w:rsid w:val="752C2862"/>
    <w:rsid w:val="75826D11"/>
    <w:rsid w:val="765549E7"/>
    <w:rsid w:val="77291DDF"/>
    <w:rsid w:val="788E209D"/>
    <w:rsid w:val="7A4736B7"/>
    <w:rsid w:val="7B10592D"/>
    <w:rsid w:val="7C0332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footnote text"/>
    <w:basedOn w:val="1"/>
    <w:qFormat/>
    <w:uiPriority w:val="99"/>
    <w:pPr>
      <w:snapToGrid w:val="0"/>
      <w:jc w:val="left"/>
    </w:pPr>
    <w:rPr>
      <w:sz w:val="18"/>
      <w:szCs w:val="18"/>
    </w:rPr>
  </w:style>
  <w:style w:type="character" w:styleId="7">
    <w:name w:val="Hyperlink"/>
    <w:basedOn w:val="6"/>
    <w:qFormat/>
    <w:uiPriority w:val="99"/>
    <w:rPr>
      <w:color w:val="0000FF"/>
      <w:u w:val="single"/>
    </w:rPr>
  </w:style>
  <w:style w:type="character" w:styleId="8">
    <w:name w:val="footnote reference"/>
    <w:basedOn w:val="6"/>
    <w:qFormat/>
    <w:uiPriority w:val="99"/>
    <w:rPr>
      <w:vertAlign w:val="superscript"/>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3930</Words>
  <Characters>4283</Characters>
  <Lines>30</Lines>
  <Paragraphs>8</Paragraphs>
  <TotalTime>3</TotalTime>
  <ScaleCrop>false</ScaleCrop>
  <LinksUpToDate>false</LinksUpToDate>
  <CharactersWithSpaces>4286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2026-01-06T08:48:00Z</dcterms:created>
  <dc:creator>18359</dc:creator>
  <cp:lastModifiedBy>谭瑛</cp:lastModifiedBy>
  <dcterms:modified xsi:type="dcterms:W3CDTF">2026-04-16T09:37:25Z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eyJoZGlkIjoiOTI3YThlNzZjYzc4MDUxNzBjZGM5ZWI0YWUzYmFlMGMiLCJ1c2VySWQiOiIxNDQ2MzUxODcyIn0=</vt:lpwstr>
  </property>
  <property fmtid="{D5CDD505-2E9C-101B-9397-08002B2CF9AE}" pid="4" name="ICV">
    <vt:lpwstr>E1AB672B2F2041CABABAECF661D72556_13</vt:lpwstr>
  </property>
</Properties>
</file>